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072427" w:displacedByCustomXml="next"/>
    <w:sdt>
      <w:sdtPr>
        <w:rPr>
          <w:rFonts w:ascii="Times New Roman" w:hAnsi="Times New Roman" w:cs="Times New Roman"/>
        </w:rPr>
        <w:id w:val="-658078814"/>
        <w:docPartObj>
          <w:docPartGallery w:val="Cover Pages"/>
          <w:docPartUnique/>
        </w:docPartObj>
      </w:sdtPr>
      <w:sdtEndPr>
        <w:rPr>
          <w:smallCaps/>
          <w:sz w:val="28"/>
          <w:szCs w:val="28"/>
        </w:rPr>
      </w:sdtEndPr>
      <w:sdtContent>
        <w:p w14:paraId="637B89B6" w14:textId="6AA33050" w:rsidR="00ED502E" w:rsidRPr="00E10125" w:rsidRDefault="00F5115B">
          <w:pPr>
            <w:rPr>
              <w:rFonts w:ascii="Times New Roman" w:hAnsi="Times New Roman" w:cs="Times New Roman"/>
            </w:rPr>
          </w:pPr>
          <w:r w:rsidRPr="00E10125">
            <w:rPr>
              <w:rFonts w:ascii="Times New Roman" w:hAnsi="Times New Roman" w:cs="Times New Roman"/>
              <w:noProof/>
            </w:rPr>
            <w:drawing>
              <wp:anchor distT="0" distB="0" distL="114300" distR="114300" simplePos="0" relativeHeight="251658243" behindDoc="0" locked="0" layoutInCell="1" allowOverlap="1" wp14:anchorId="48EC8C15" wp14:editId="04AB597E">
                <wp:simplePos x="0" y="0"/>
                <wp:positionH relativeFrom="column">
                  <wp:posOffset>5151120</wp:posOffset>
                </wp:positionH>
                <wp:positionV relativeFrom="paragraph">
                  <wp:posOffset>0</wp:posOffset>
                </wp:positionV>
                <wp:extent cx="1343874" cy="134387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3874" cy="1343874"/>
                        </a:xfrm>
                        <a:prstGeom prst="rect">
                          <a:avLst/>
                        </a:prstGeom>
                        <a:noFill/>
                        <a:ln>
                          <a:noFill/>
                        </a:ln>
                      </pic:spPr>
                    </pic:pic>
                  </a:graphicData>
                </a:graphic>
              </wp:anchor>
            </w:drawing>
          </w:r>
          <w:r w:rsidR="002D1875" w:rsidRPr="00E10125">
            <w:rPr>
              <w:rFonts w:ascii="Times New Roman" w:hAnsi="Times New Roman" w:cs="Times New Roman"/>
            </w:rPr>
            <w:t xml:space="preserve"> </w:t>
          </w:r>
          <w:r w:rsidR="00B05C7C">
            <w:rPr>
              <w:rFonts w:ascii="Times New Roman" w:hAnsi="Times New Roman" w:cs="Times New Roman"/>
            </w:rPr>
            <w:t xml:space="preserve"> </w:t>
          </w:r>
        </w:p>
        <w:p w14:paraId="1D2ECD2F" w14:textId="77777777" w:rsidR="00994C7F" w:rsidRPr="00E10125" w:rsidRDefault="00966E26">
          <w:pPr>
            <w:rPr>
              <w:rFonts w:ascii="Times New Roman" w:hAnsi="Times New Roman" w:cs="Times New Roman"/>
              <w:smallCaps/>
              <w:sz w:val="28"/>
              <w:szCs w:val="28"/>
            </w:rPr>
          </w:pPr>
          <w:r w:rsidRPr="00E10125">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3FE0894A" wp14:editId="5110BFF5">
                    <wp:simplePos x="0" y="0"/>
                    <wp:positionH relativeFrom="margin">
                      <wp:align>right</wp:align>
                    </wp:positionH>
                    <mc:AlternateContent>
                      <mc:Choice Requires="wp14">
                        <wp:positionV relativeFrom="page">
                          <wp14:pctPosVOffset>45500</wp14:pctPosVOffset>
                        </wp:positionV>
                      </mc:Choice>
                      <mc:Fallback>
                        <wp:positionV relativeFrom="page">
                          <wp:posOffset>4576445</wp:posOffset>
                        </wp:positionV>
                      </mc:Fallback>
                    </mc:AlternateContent>
                    <wp:extent cx="5911850" cy="3067050"/>
                    <wp:effectExtent l="0" t="0" r="12700" b="0"/>
                    <wp:wrapSquare wrapText="bothSides"/>
                    <wp:docPr id="113" name="Text Box 113"/>
                    <wp:cNvGraphicFramePr/>
                    <a:graphic xmlns:a="http://schemas.openxmlformats.org/drawingml/2006/main">
                      <a:graphicData uri="http://schemas.microsoft.com/office/word/2010/wordprocessingShape">
                        <wps:wsp>
                          <wps:cNvSpPr txBox="1"/>
                          <wps:spPr>
                            <a:xfrm>
                              <a:off x="0" y="0"/>
                              <a:ext cx="5911850" cy="306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B8FAC" w14:textId="60B1CE8D" w:rsidR="0038509D" w:rsidRPr="00994C7F" w:rsidRDefault="00300D27" w:rsidP="0045026C">
                                <w:pPr>
                                  <w:pStyle w:val="NoSpacing"/>
                                  <w:tabs>
                                    <w:tab w:val="left" w:pos="8370"/>
                                  </w:tabs>
                                  <w:rPr>
                                    <w:caps/>
                                    <w:smallCaps/>
                                    <w:color w:val="538135" w:themeColor="accent6" w:themeShade="BF"/>
                                    <w:sz w:val="160"/>
                                    <w:szCs w:val="160"/>
                                  </w:rPr>
                                </w:pPr>
                                <w:r>
                                  <w:rPr>
                                    <w:rFonts w:ascii="Gill Sans Nova" w:hAnsi="Gill Sans Nova" w:cstheme="majorHAnsi"/>
                                    <w:smallCaps/>
                                    <w:color w:val="C00000"/>
                                    <w:sz w:val="48"/>
                                    <w:szCs w:val="48"/>
                                  </w:rPr>
                                  <w:t>IMPLEMENTING AN EFFECTIVE FIREARM RELINQUISHMENT PROTOCOL</w:t>
                                </w:r>
                              </w:p>
                              <w:p w14:paraId="3713AC6D" w14:textId="281B0D87" w:rsidR="0038509D" w:rsidRDefault="0038509D" w:rsidP="0045026C">
                                <w:pPr>
                                  <w:pStyle w:val="NoSpacing"/>
                                  <w:rPr>
                                    <w:rFonts w:ascii="Gill Sans Nova" w:hAnsi="Gill Sans Nova" w:cs="Arial"/>
                                    <w:iCs/>
                                    <w:smallCaps/>
                                    <w:color w:val="F4B083" w:themeColor="accent2" w:themeTint="99"/>
                                    <w:sz w:val="40"/>
                                    <w:szCs w:val="40"/>
                                  </w:rPr>
                                </w:pPr>
                                <w:r w:rsidRPr="00994C7F">
                                  <w:rPr>
                                    <w:rFonts w:ascii="Gill Sans Nova" w:hAnsi="Gill Sans Nova" w:cs="Arial"/>
                                    <w:iCs/>
                                    <w:smallCaps/>
                                    <w:color w:val="F4B083" w:themeColor="accent2" w:themeTint="99"/>
                                    <w:sz w:val="40"/>
                                    <w:szCs w:val="40"/>
                                  </w:rPr>
                                  <w:t xml:space="preserve">National Resource Center on </w:t>
                                </w:r>
                                <w:r w:rsidRPr="00994C7F">
                                  <w:rPr>
                                    <w:rFonts w:ascii="Gill Sans Nova" w:hAnsi="Gill Sans Nova" w:cs="Arial"/>
                                    <w:iCs/>
                                    <w:smallCaps/>
                                    <w:color w:val="F4B083" w:themeColor="accent2" w:themeTint="99"/>
                                    <w:sz w:val="40"/>
                                    <w:szCs w:val="40"/>
                                  </w:rPr>
                                  <w:br/>
                                  <w:t>Domestic Violence and Firearms | BWJP</w:t>
                                </w:r>
                              </w:p>
                              <w:p w14:paraId="352818FB" w14:textId="5E531253" w:rsidR="0038509D" w:rsidRDefault="0038509D" w:rsidP="0045026C">
                                <w:pPr>
                                  <w:pStyle w:val="NoSpacing"/>
                                  <w:rPr>
                                    <w:rFonts w:ascii="Gill Sans Nova" w:hAnsi="Gill Sans Nova" w:cs="Arial"/>
                                    <w:iCs/>
                                    <w:smallCaps/>
                                    <w:color w:val="F4B083" w:themeColor="accent2" w:themeTint="99"/>
                                    <w:sz w:val="40"/>
                                    <w:szCs w:val="40"/>
                                  </w:rPr>
                                </w:pPr>
                              </w:p>
                              <w:p w14:paraId="58DA0B69" w14:textId="77777777" w:rsidR="0038509D" w:rsidRPr="00994C7F" w:rsidRDefault="0038509D" w:rsidP="00ED502E">
                                <w:pPr>
                                  <w:pStyle w:val="NoSpacing"/>
                                  <w:jc w:val="right"/>
                                  <w:rPr>
                                    <w:rFonts w:ascii="Gill Sans Nova" w:hAnsi="Gill Sans Nova" w:cs="Arial"/>
                                    <w:iCs/>
                                    <w:smallCaps/>
                                    <w:color w:val="F4B083" w:themeColor="accent2" w:themeTint="99"/>
                                    <w:sz w:val="32"/>
                                    <w:szCs w:val="32"/>
                                  </w:rPr>
                                </w:pPr>
                              </w:p>
                              <w:p w14:paraId="7B7898CE" w14:textId="2D3BF0C3" w:rsidR="0038509D" w:rsidRDefault="0038509D" w:rsidP="00ED502E">
                                <w:pPr>
                                  <w:pStyle w:val="NoSpacing"/>
                                  <w:jc w:val="right"/>
                                  <w:rPr>
                                    <w:rFonts w:ascii="Gill Sans Nova" w:hAnsi="Gill Sans Nova" w:cs="Arial"/>
                                    <w:iCs/>
                                    <w:smallCaps/>
                                    <w:color w:val="F4B083" w:themeColor="accent2" w:themeTint="99"/>
                                    <w:sz w:val="40"/>
                                    <w:szCs w:val="40"/>
                                  </w:rPr>
                                </w:pPr>
                              </w:p>
                              <w:p w14:paraId="6F902E85" w14:textId="77777777" w:rsidR="0038509D" w:rsidRPr="00994C7F" w:rsidRDefault="0038509D" w:rsidP="00ED502E">
                                <w:pPr>
                                  <w:pStyle w:val="NoSpacing"/>
                                  <w:jc w:val="right"/>
                                  <w:rPr>
                                    <w:smallCaps/>
                                    <w:color w:val="F4B083" w:themeColor="accent2" w:themeTint="99"/>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E0894A" id="_x0000_t202" coordsize="21600,21600" o:spt="202" path="m,l,21600r21600,l21600,xe">
                    <v:stroke joinstyle="miter"/>
                    <v:path gradientshapeok="t" o:connecttype="rect"/>
                  </v:shapetype>
                  <v:shape id="Text Box 113" o:spid="_x0000_s1026" type="#_x0000_t202" style="position:absolute;margin-left:414.3pt;margin-top:0;width:465.5pt;height:241.5pt;z-index:251658241;visibility:visible;mso-wrap-style:square;mso-width-percent:0;mso-height-percent:0;mso-top-percent:455;mso-wrap-distance-left:9pt;mso-wrap-distance-top:0;mso-wrap-distance-right:9pt;mso-wrap-distance-bottom:0;mso-position-horizontal:right;mso-position-horizontal-relative:margin;mso-position-vertical-relative:page;mso-width-percent:0;mso-height-percent: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" filled="f" stroked="f" strokeweight=".5pt">
                    <v:textbox inset="0,0,0,0">
                      <w:txbxContent>
                        <w:p w14:paraId="5A8B8FAC" w14:textId="60B1CE8D" w:rsidR="0038509D" w:rsidRPr="00994C7F" w:rsidRDefault="00300D27" w:rsidP="0045026C">
                          <w:pPr>
                            <w:pStyle w:val="NoSpacing"/>
                            <w:tabs>
                              <w:tab w:val="left" w:pos="8370"/>
                            </w:tabs>
                            <w:rPr>
                              <w:caps/>
                              <w:smallCaps/>
                              <w:color w:val="538135" w:themeColor="accent6" w:themeShade="BF"/>
                              <w:sz w:val="160"/>
                              <w:szCs w:val="160"/>
                            </w:rPr>
                          </w:pPr>
                          <w:r>
                            <w:rPr>
                              <w:rFonts w:ascii="Gill Sans Nova" w:hAnsi="Gill Sans Nova" w:cstheme="majorHAnsi"/>
                              <w:smallCaps/>
                              <w:color w:val="C00000"/>
                              <w:sz w:val="48"/>
                              <w:szCs w:val="48"/>
                            </w:rPr>
                            <w:t>IMPLEMENTING AN EFFECTIVE FIREARM RELINQUISHMENT PROTOCOL</w:t>
                          </w:r>
                        </w:p>
                        <w:p w14:paraId="3713AC6D" w14:textId="281B0D87" w:rsidR="0038509D" w:rsidRDefault="0038509D" w:rsidP="0045026C">
                          <w:pPr>
                            <w:pStyle w:val="NoSpacing"/>
                            <w:rPr>
                              <w:rFonts w:ascii="Gill Sans Nova" w:hAnsi="Gill Sans Nova" w:cs="Arial"/>
                              <w:iCs/>
                              <w:smallCaps/>
                              <w:color w:val="F4B083" w:themeColor="accent2" w:themeTint="99"/>
                              <w:sz w:val="40"/>
                              <w:szCs w:val="40"/>
                            </w:rPr>
                          </w:pPr>
                          <w:r w:rsidRPr="00994C7F">
                            <w:rPr>
                              <w:rFonts w:ascii="Gill Sans Nova" w:hAnsi="Gill Sans Nova" w:cs="Arial"/>
                              <w:iCs/>
                              <w:smallCaps/>
                              <w:color w:val="F4B083" w:themeColor="accent2" w:themeTint="99"/>
                              <w:sz w:val="40"/>
                              <w:szCs w:val="40"/>
                            </w:rPr>
                            <w:t xml:space="preserve">National Resource Center on </w:t>
                          </w:r>
                          <w:r w:rsidRPr="00994C7F">
                            <w:rPr>
                              <w:rFonts w:ascii="Gill Sans Nova" w:hAnsi="Gill Sans Nova" w:cs="Arial"/>
                              <w:iCs/>
                              <w:smallCaps/>
                              <w:color w:val="F4B083" w:themeColor="accent2" w:themeTint="99"/>
                              <w:sz w:val="40"/>
                              <w:szCs w:val="40"/>
                            </w:rPr>
                            <w:br/>
                            <w:t>Domestic Violence and Firearms | BWJP</w:t>
                          </w:r>
                        </w:p>
                        <w:p w14:paraId="352818FB" w14:textId="5E531253" w:rsidR="0038509D" w:rsidRDefault="0038509D" w:rsidP="0045026C">
                          <w:pPr>
                            <w:pStyle w:val="NoSpacing"/>
                            <w:rPr>
                              <w:rFonts w:ascii="Gill Sans Nova" w:hAnsi="Gill Sans Nova" w:cs="Arial"/>
                              <w:iCs/>
                              <w:smallCaps/>
                              <w:color w:val="F4B083" w:themeColor="accent2" w:themeTint="99"/>
                              <w:sz w:val="40"/>
                              <w:szCs w:val="40"/>
                            </w:rPr>
                          </w:pPr>
                        </w:p>
                        <w:p w14:paraId="58DA0B69" w14:textId="77777777" w:rsidR="0038509D" w:rsidRPr="00994C7F" w:rsidRDefault="0038509D" w:rsidP="00ED502E">
                          <w:pPr>
                            <w:pStyle w:val="NoSpacing"/>
                            <w:jc w:val="right"/>
                            <w:rPr>
                              <w:rFonts w:ascii="Gill Sans Nova" w:hAnsi="Gill Sans Nova" w:cs="Arial"/>
                              <w:iCs/>
                              <w:smallCaps/>
                              <w:color w:val="F4B083" w:themeColor="accent2" w:themeTint="99"/>
                              <w:sz w:val="32"/>
                              <w:szCs w:val="32"/>
                            </w:rPr>
                          </w:pPr>
                        </w:p>
                        <w:p w14:paraId="7B7898CE" w14:textId="2D3BF0C3" w:rsidR="0038509D" w:rsidRDefault="0038509D" w:rsidP="00ED502E">
                          <w:pPr>
                            <w:pStyle w:val="NoSpacing"/>
                            <w:jc w:val="right"/>
                            <w:rPr>
                              <w:rFonts w:ascii="Gill Sans Nova" w:hAnsi="Gill Sans Nova" w:cs="Arial"/>
                              <w:iCs/>
                              <w:smallCaps/>
                              <w:color w:val="F4B083" w:themeColor="accent2" w:themeTint="99"/>
                              <w:sz w:val="40"/>
                              <w:szCs w:val="40"/>
                            </w:rPr>
                          </w:pPr>
                        </w:p>
                        <w:p w14:paraId="6F902E85" w14:textId="77777777" w:rsidR="0038509D" w:rsidRPr="00994C7F" w:rsidRDefault="0038509D" w:rsidP="00ED502E">
                          <w:pPr>
                            <w:pStyle w:val="NoSpacing"/>
                            <w:jc w:val="right"/>
                            <w:rPr>
                              <w:smallCaps/>
                              <w:color w:val="F4B083" w:themeColor="accent2" w:themeTint="99"/>
                              <w:sz w:val="36"/>
                              <w:szCs w:val="36"/>
                            </w:rPr>
                          </w:pPr>
                        </w:p>
                      </w:txbxContent>
                    </v:textbox>
                    <w10:wrap type="square" anchorx="margin" anchory="page"/>
                  </v:shape>
                </w:pict>
              </mc:Fallback>
            </mc:AlternateContent>
          </w:r>
          <w:r w:rsidR="00F5115B" w:rsidRPr="00E10125">
            <w:rPr>
              <w:rFonts w:ascii="Times New Roman" w:hAnsi="Times New Roman" w:cs="Times New Roman"/>
              <w:noProof/>
              <w:sz w:val="28"/>
              <w:szCs w:val="28"/>
            </w:rPr>
            <w:drawing>
              <wp:anchor distT="0" distB="0" distL="114300" distR="114300" simplePos="0" relativeHeight="251658242" behindDoc="1" locked="0" layoutInCell="1" allowOverlap="1" wp14:anchorId="3CF1A8C1" wp14:editId="5C8CCB44">
                <wp:simplePos x="0" y="0"/>
                <wp:positionH relativeFrom="column">
                  <wp:posOffset>5394325</wp:posOffset>
                </wp:positionH>
                <wp:positionV relativeFrom="paragraph">
                  <wp:posOffset>1315085</wp:posOffset>
                </wp:positionV>
                <wp:extent cx="863600" cy="911225"/>
                <wp:effectExtent l="0" t="0" r="0" b="3175"/>
                <wp:wrapTight wrapText="bothSides">
                  <wp:wrapPolygon edited="0">
                    <wp:start x="0" y="0"/>
                    <wp:lineTo x="0" y="21224"/>
                    <wp:lineTo x="20965" y="21224"/>
                    <wp:lineTo x="20965" y="0"/>
                    <wp:lineTo x="0" y="0"/>
                  </wp:wrapPolygon>
                </wp:wrapTight>
                <wp:docPr id="1" name="Picture 7" descr="A close up of a sign&#10;&#10;Description generated with very high confidence">
                  <a:extLst xmlns:a="http://schemas.openxmlformats.org/drawingml/2006/main">
                    <a:ext uri="{FF2B5EF4-FFF2-40B4-BE49-F238E27FC236}">
                      <a16:creationId xmlns:a16="http://schemas.microsoft.com/office/drawing/2014/main" id="{F217A8DD-1F96-4DD2-BA1E-0BE9DDDB99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sign&#10;&#10;Description generated with very high confidence">
                          <a:extLst>
                            <a:ext uri="{FF2B5EF4-FFF2-40B4-BE49-F238E27FC236}">
                              <a16:creationId xmlns:a16="http://schemas.microsoft.com/office/drawing/2014/main" id="{F217A8DD-1F96-4DD2-BA1E-0BE9DDDB9973}"/>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9" r="2033" b="1"/>
                        <a:stretch/>
                      </pic:blipFill>
                      <pic:spPr>
                        <a:xfrm>
                          <a:off x="0" y="0"/>
                          <a:ext cx="863600" cy="911225"/>
                        </a:xfrm>
                        <a:prstGeom prst="rect">
                          <a:avLst/>
                        </a:prstGeom>
                        <a:effectLst/>
                      </pic:spPr>
                    </pic:pic>
                  </a:graphicData>
                </a:graphic>
                <wp14:sizeRelH relativeFrom="margin">
                  <wp14:pctWidth>0</wp14:pctWidth>
                </wp14:sizeRelH>
                <wp14:sizeRelV relativeFrom="margin">
                  <wp14:pctHeight>0</wp14:pctHeight>
                </wp14:sizeRelV>
              </wp:anchor>
            </w:drawing>
          </w:r>
          <w:r w:rsidR="00ED502E" w:rsidRPr="00E10125">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23922FE4" wp14:editId="3A43FD8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54564F0" id="Grou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ED502E" w:rsidRPr="00E10125">
            <w:rPr>
              <w:rFonts w:ascii="Times New Roman" w:hAnsi="Times New Roman" w:cs="Times New Roman"/>
              <w:smallCaps/>
              <w:sz w:val="28"/>
              <w:szCs w:val="28"/>
            </w:rPr>
            <w:t xml:space="preserve"> </w:t>
          </w:r>
          <w:r w:rsidR="00ED502E" w:rsidRPr="00E10125">
            <w:rPr>
              <w:rFonts w:ascii="Times New Roman" w:hAnsi="Times New Roman" w:cs="Times New Roman"/>
              <w:smallCaps/>
              <w:sz w:val="28"/>
              <w:szCs w:val="28"/>
            </w:rPr>
            <w:br w:type="page"/>
          </w:r>
        </w:p>
      </w:sdtContent>
    </w:sdt>
    <w:p w14:paraId="13B4DB8A" w14:textId="77777777" w:rsidR="007B66FF" w:rsidRPr="00E10125" w:rsidRDefault="007B66FF">
      <w:pPr>
        <w:rPr>
          <w:rFonts w:ascii="Times New Roman" w:hAnsi="Times New Roman" w:cs="Times New Roman"/>
          <w:b/>
          <w:bCs/>
          <w:smallCaps/>
          <w:color w:val="C45911" w:themeColor="accent2" w:themeShade="BF"/>
          <w:sz w:val="24"/>
          <w:szCs w:val="24"/>
        </w:rPr>
      </w:pPr>
    </w:p>
    <w:p w14:paraId="67A6318F" w14:textId="77777777" w:rsidR="000B010A" w:rsidRDefault="000B010A" w:rsidP="007B66FF">
      <w:pPr>
        <w:pStyle w:val="Pa6"/>
        <w:spacing w:after="180"/>
        <w:rPr>
          <w:rFonts w:ascii="Times New Roman" w:hAnsi="Times New Roman" w:cs="Times New Roman"/>
          <w:b/>
          <w:bCs/>
          <w:color w:val="CC7837"/>
          <w:sz w:val="28"/>
          <w:szCs w:val="28"/>
        </w:rPr>
      </w:pPr>
    </w:p>
    <w:p w14:paraId="30CF4FAD" w14:textId="77777777" w:rsidR="000B010A" w:rsidRDefault="000B010A" w:rsidP="007B66FF">
      <w:pPr>
        <w:pStyle w:val="Pa6"/>
        <w:spacing w:after="180"/>
        <w:rPr>
          <w:rFonts w:ascii="Times New Roman" w:hAnsi="Times New Roman" w:cs="Times New Roman"/>
          <w:b/>
          <w:bCs/>
          <w:color w:val="CC7837"/>
          <w:sz w:val="28"/>
          <w:szCs w:val="28"/>
        </w:rPr>
      </w:pPr>
    </w:p>
    <w:p w14:paraId="0812C522" w14:textId="77777777" w:rsidR="000B010A" w:rsidRDefault="000B010A" w:rsidP="007B66FF">
      <w:pPr>
        <w:pStyle w:val="Pa6"/>
        <w:spacing w:after="180"/>
        <w:rPr>
          <w:rFonts w:ascii="Times New Roman" w:hAnsi="Times New Roman" w:cs="Times New Roman"/>
          <w:b/>
          <w:bCs/>
          <w:color w:val="CC7837"/>
          <w:sz w:val="28"/>
          <w:szCs w:val="28"/>
        </w:rPr>
      </w:pPr>
    </w:p>
    <w:p w14:paraId="7F230C97" w14:textId="1C306802" w:rsidR="007B66FF" w:rsidRPr="00A228D0" w:rsidRDefault="007B66FF" w:rsidP="007B66FF">
      <w:pPr>
        <w:pStyle w:val="Pa6"/>
        <w:spacing w:after="180"/>
        <w:rPr>
          <w:rFonts w:ascii="Times New Roman" w:hAnsi="Times New Roman" w:cs="Times New Roman"/>
          <w:color w:val="CC7837"/>
          <w:sz w:val="28"/>
          <w:szCs w:val="28"/>
        </w:rPr>
      </w:pPr>
      <w:r w:rsidRPr="00A228D0">
        <w:rPr>
          <w:rFonts w:ascii="Times New Roman" w:hAnsi="Times New Roman" w:cs="Times New Roman"/>
          <w:b/>
          <w:bCs/>
          <w:color w:val="CC7837"/>
          <w:sz w:val="28"/>
          <w:szCs w:val="28"/>
        </w:rPr>
        <w:t xml:space="preserve">About Us </w:t>
      </w:r>
    </w:p>
    <w:p w14:paraId="7EA70A2B" w14:textId="77777777" w:rsidR="007B66FF" w:rsidRPr="00A228D0" w:rsidRDefault="007B66FF" w:rsidP="007B66FF">
      <w:pPr>
        <w:rPr>
          <w:rStyle w:val="A7"/>
          <w:rFonts w:ascii="Times New Roman" w:hAnsi="Times New Roman" w:cs="Times New Roman"/>
          <w:sz w:val="24"/>
          <w:szCs w:val="24"/>
        </w:rPr>
      </w:pPr>
      <w:r w:rsidRPr="00A228D0">
        <w:rPr>
          <w:rStyle w:val="A4"/>
          <w:rFonts w:ascii="Times New Roman" w:hAnsi="Times New Roman" w:cs="Times New Roman"/>
          <w:sz w:val="24"/>
          <w:szCs w:val="24"/>
        </w:rPr>
        <w:t xml:space="preserve">The National Resource Center on Domestic Violence and Firearms (NRCDVF) is a project of BWJP. NRCDVF aims to (1) prevent domestic violence-related firearm homicides; (2) provide quality practice and policy expertise; and (3) to build the capacity of individuals, organizations, and coalitions of jurisdictions to proactively address domestic violence and firearms.  Expert consultation and resources provide the road map for communities to improve implementation of firearm prohibitions at </w:t>
      </w:r>
      <w:r w:rsidRPr="00A228D0">
        <w:rPr>
          <w:rStyle w:val="A7"/>
          <w:rFonts w:ascii="Times New Roman" w:hAnsi="Times New Roman" w:cs="Times New Roman"/>
          <w:sz w:val="24"/>
          <w:szCs w:val="24"/>
        </w:rPr>
        <w:t>preventdvgunviolence.org.</w:t>
      </w:r>
    </w:p>
    <w:p w14:paraId="693E03A3" w14:textId="77777777" w:rsidR="007B66FF" w:rsidRPr="00E10125" w:rsidRDefault="007B66FF" w:rsidP="007B66FF">
      <w:pPr>
        <w:pStyle w:val="NoSpacing"/>
        <w:rPr>
          <w:rFonts w:ascii="Times New Roman" w:hAnsi="Times New Roman" w:cs="Times New Roman"/>
        </w:rPr>
      </w:pPr>
    </w:p>
    <w:p w14:paraId="0B1E7356" w14:textId="5E825D58" w:rsidR="007B66FF" w:rsidRPr="00A228D0" w:rsidRDefault="007B66FF" w:rsidP="007B66FF">
      <w:pPr>
        <w:pStyle w:val="NoSpacing"/>
        <w:rPr>
          <w:rFonts w:ascii="Times New Roman" w:hAnsi="Times New Roman" w:cs="Times New Roman"/>
          <w:sz w:val="24"/>
          <w:szCs w:val="24"/>
        </w:rPr>
      </w:pPr>
      <w:r w:rsidRPr="00A228D0">
        <w:rPr>
          <w:rFonts w:ascii="Times New Roman" w:hAnsi="Times New Roman" w:cs="Times New Roman"/>
          <w:sz w:val="24"/>
          <w:szCs w:val="24"/>
        </w:rPr>
        <w:t>David W. Keck, Director</w:t>
      </w:r>
      <w:r w:rsidR="00A228D0">
        <w:rPr>
          <w:rFonts w:ascii="Times New Roman" w:hAnsi="Times New Roman" w:cs="Times New Roman"/>
          <w:sz w:val="24"/>
          <w:szCs w:val="24"/>
        </w:rPr>
        <w:t xml:space="preserve">, National Resource Center on Domestic Violence and </w:t>
      </w:r>
      <w:r w:rsidR="000B010A">
        <w:rPr>
          <w:rFonts w:ascii="Times New Roman" w:hAnsi="Times New Roman" w:cs="Times New Roman"/>
          <w:sz w:val="24"/>
          <w:szCs w:val="24"/>
        </w:rPr>
        <w:t>Firearms</w:t>
      </w:r>
      <w:r w:rsidR="00A228D0">
        <w:rPr>
          <w:rFonts w:ascii="Times New Roman" w:hAnsi="Times New Roman" w:cs="Times New Roman"/>
          <w:sz w:val="24"/>
          <w:szCs w:val="24"/>
        </w:rPr>
        <w:t xml:space="preserve"> </w:t>
      </w:r>
    </w:p>
    <w:p w14:paraId="2A3B6C08" w14:textId="6FCFB36B" w:rsidR="007B66FF" w:rsidRPr="00A228D0" w:rsidRDefault="007B66FF" w:rsidP="007B66FF">
      <w:pPr>
        <w:spacing w:after="0" w:line="240" w:lineRule="auto"/>
        <w:rPr>
          <w:rFonts w:ascii="Times New Roman" w:hAnsi="Times New Roman" w:cs="Times New Roman"/>
          <w:sz w:val="24"/>
          <w:szCs w:val="24"/>
        </w:rPr>
      </w:pPr>
      <w:r w:rsidRPr="00A228D0">
        <w:rPr>
          <w:rFonts w:ascii="Times New Roman" w:hAnsi="Times New Roman" w:cs="Times New Roman"/>
          <w:sz w:val="24"/>
          <w:szCs w:val="24"/>
        </w:rPr>
        <w:t xml:space="preserve">Alicia </w:t>
      </w:r>
      <w:r w:rsidR="000B010A">
        <w:rPr>
          <w:rFonts w:ascii="Times New Roman" w:hAnsi="Times New Roman" w:cs="Times New Roman"/>
          <w:sz w:val="24"/>
          <w:szCs w:val="24"/>
        </w:rPr>
        <w:t xml:space="preserve">B. </w:t>
      </w:r>
      <w:r w:rsidRPr="00A228D0">
        <w:rPr>
          <w:rFonts w:ascii="Times New Roman" w:hAnsi="Times New Roman" w:cs="Times New Roman"/>
          <w:sz w:val="24"/>
          <w:szCs w:val="24"/>
        </w:rPr>
        <w:t>Nic</w:t>
      </w:r>
      <w:r w:rsidR="00E10125" w:rsidRPr="00A228D0">
        <w:rPr>
          <w:rFonts w:ascii="Times New Roman" w:hAnsi="Times New Roman" w:cs="Times New Roman"/>
          <w:sz w:val="24"/>
          <w:szCs w:val="24"/>
        </w:rPr>
        <w:t>h</w:t>
      </w:r>
      <w:r w:rsidRPr="00A228D0">
        <w:rPr>
          <w:rFonts w:ascii="Times New Roman" w:hAnsi="Times New Roman" w:cs="Times New Roman"/>
          <w:sz w:val="24"/>
          <w:szCs w:val="24"/>
        </w:rPr>
        <w:t>ols, Deputy Director,</w:t>
      </w:r>
      <w:r w:rsidR="000B010A">
        <w:rPr>
          <w:rFonts w:ascii="Times New Roman" w:hAnsi="Times New Roman" w:cs="Times New Roman"/>
          <w:sz w:val="24"/>
          <w:szCs w:val="24"/>
        </w:rPr>
        <w:t xml:space="preserve"> National Resource Center on Domestic Violence and Firearms</w:t>
      </w:r>
    </w:p>
    <w:p w14:paraId="1D72FB76" w14:textId="53D66D15" w:rsidR="007B66FF" w:rsidRPr="00A228D0" w:rsidRDefault="007B66FF" w:rsidP="007B66FF">
      <w:pPr>
        <w:spacing w:after="0" w:line="240" w:lineRule="auto"/>
        <w:rPr>
          <w:rFonts w:ascii="Times New Roman" w:hAnsi="Times New Roman" w:cs="Times New Roman"/>
          <w:sz w:val="24"/>
          <w:szCs w:val="24"/>
        </w:rPr>
      </w:pPr>
      <w:r w:rsidRPr="00A228D0">
        <w:rPr>
          <w:rFonts w:ascii="Times New Roman" w:hAnsi="Times New Roman" w:cs="Times New Roman"/>
          <w:sz w:val="24"/>
          <w:szCs w:val="24"/>
        </w:rPr>
        <w:t xml:space="preserve">Amy J. Sánchez, </w:t>
      </w:r>
      <w:r w:rsidR="000B010A">
        <w:rPr>
          <w:rFonts w:ascii="Times New Roman" w:hAnsi="Times New Roman" w:cs="Times New Roman"/>
          <w:sz w:val="24"/>
          <w:szCs w:val="24"/>
        </w:rPr>
        <w:t>Chief Executive Officer, BWJP</w:t>
      </w:r>
    </w:p>
    <w:p w14:paraId="5F25A6EC" w14:textId="37895B65" w:rsidR="007B66FF" w:rsidRPr="00A228D0" w:rsidRDefault="007B66FF" w:rsidP="007B66FF">
      <w:pPr>
        <w:spacing w:after="0" w:line="240" w:lineRule="auto"/>
        <w:rPr>
          <w:rFonts w:ascii="Times New Roman" w:hAnsi="Times New Roman" w:cs="Times New Roman"/>
          <w:sz w:val="24"/>
          <w:szCs w:val="24"/>
        </w:rPr>
      </w:pPr>
      <w:r w:rsidRPr="00A228D0">
        <w:rPr>
          <w:rFonts w:ascii="Times New Roman" w:hAnsi="Times New Roman" w:cs="Times New Roman"/>
          <w:sz w:val="24"/>
          <w:szCs w:val="24"/>
        </w:rPr>
        <w:t xml:space="preserve">Kristine Lizdas, </w:t>
      </w:r>
      <w:r w:rsidR="000B010A">
        <w:rPr>
          <w:rFonts w:ascii="Times New Roman" w:hAnsi="Times New Roman" w:cs="Times New Roman"/>
          <w:sz w:val="24"/>
          <w:szCs w:val="24"/>
        </w:rPr>
        <w:t>Director of Policy and Practice, BWJP</w:t>
      </w:r>
    </w:p>
    <w:p w14:paraId="42818965" w14:textId="7BDE5ECC" w:rsidR="007B66FF" w:rsidRPr="00A228D0" w:rsidRDefault="007B66FF" w:rsidP="007B66FF">
      <w:pPr>
        <w:spacing w:after="0" w:line="240" w:lineRule="auto"/>
        <w:rPr>
          <w:rFonts w:ascii="Times New Roman" w:hAnsi="Times New Roman" w:cs="Times New Roman"/>
          <w:sz w:val="24"/>
          <w:szCs w:val="24"/>
        </w:rPr>
      </w:pPr>
      <w:r w:rsidRPr="00A228D0">
        <w:rPr>
          <w:rFonts w:ascii="Times New Roman" w:hAnsi="Times New Roman" w:cs="Times New Roman"/>
          <w:sz w:val="24"/>
          <w:szCs w:val="24"/>
        </w:rPr>
        <w:t>C</w:t>
      </w:r>
      <w:r w:rsidR="00E10125" w:rsidRPr="00A228D0">
        <w:rPr>
          <w:rFonts w:ascii="Times New Roman" w:hAnsi="Times New Roman" w:cs="Times New Roman"/>
          <w:sz w:val="24"/>
          <w:szCs w:val="24"/>
        </w:rPr>
        <w:t>hristina Jones, Deputy Director of Policy Initiatives</w:t>
      </w:r>
      <w:r w:rsidR="000B010A">
        <w:rPr>
          <w:rFonts w:ascii="Times New Roman" w:hAnsi="Times New Roman" w:cs="Times New Roman"/>
          <w:sz w:val="24"/>
          <w:szCs w:val="24"/>
        </w:rPr>
        <w:t>, BWJP</w:t>
      </w:r>
    </w:p>
    <w:p w14:paraId="7E80C37A" w14:textId="22ADF15C" w:rsidR="007B66FF" w:rsidRPr="00A228D0" w:rsidRDefault="007B66FF" w:rsidP="007B66FF">
      <w:pPr>
        <w:spacing w:after="0" w:line="240" w:lineRule="auto"/>
        <w:rPr>
          <w:rFonts w:ascii="Times New Roman" w:hAnsi="Times New Roman" w:cs="Times New Roman"/>
          <w:sz w:val="24"/>
          <w:szCs w:val="24"/>
        </w:rPr>
      </w:pPr>
      <w:r w:rsidRPr="00A228D0">
        <w:rPr>
          <w:rFonts w:ascii="Times New Roman" w:hAnsi="Times New Roman" w:cs="Times New Roman"/>
          <w:sz w:val="24"/>
          <w:szCs w:val="24"/>
        </w:rPr>
        <w:t>Anton</w:t>
      </w:r>
      <w:r w:rsidR="00E10125" w:rsidRPr="00A228D0">
        <w:rPr>
          <w:rFonts w:ascii="Times New Roman" w:hAnsi="Times New Roman" w:cs="Times New Roman"/>
          <w:sz w:val="24"/>
          <w:szCs w:val="24"/>
        </w:rPr>
        <w:t xml:space="preserve"> Tripolskii, Attorney Advisor</w:t>
      </w:r>
      <w:r w:rsidR="000B010A">
        <w:rPr>
          <w:rFonts w:ascii="Times New Roman" w:hAnsi="Times New Roman" w:cs="Times New Roman"/>
          <w:sz w:val="24"/>
          <w:szCs w:val="24"/>
        </w:rPr>
        <w:t>, BWJP</w:t>
      </w:r>
    </w:p>
    <w:p w14:paraId="2CD80CB8" w14:textId="77777777" w:rsidR="007B66FF" w:rsidRPr="00A228D0" w:rsidRDefault="007B66FF" w:rsidP="007B66FF">
      <w:pPr>
        <w:spacing w:after="0" w:line="240" w:lineRule="auto"/>
        <w:rPr>
          <w:rFonts w:ascii="Times New Roman" w:hAnsi="Times New Roman" w:cs="Times New Roman"/>
          <w:sz w:val="24"/>
          <w:szCs w:val="24"/>
        </w:rPr>
      </w:pPr>
    </w:p>
    <w:p w14:paraId="776CA9CF" w14:textId="3E6E34B9" w:rsidR="007B66FF" w:rsidRPr="000B010A" w:rsidRDefault="00325C1C" w:rsidP="007B66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Recommendations </w:t>
      </w:r>
      <w:r w:rsidR="001B1596">
        <w:rPr>
          <w:rFonts w:ascii="Times New Roman" w:hAnsi="Times New Roman" w:cs="Times New Roman"/>
          <w:sz w:val="24"/>
          <w:szCs w:val="24"/>
        </w:rPr>
        <w:t xml:space="preserve">and </w:t>
      </w:r>
      <w:r w:rsidR="007B66FF" w:rsidRPr="000B010A">
        <w:rPr>
          <w:rFonts w:ascii="Times New Roman" w:hAnsi="Times New Roman" w:cs="Times New Roman"/>
          <w:sz w:val="24"/>
          <w:szCs w:val="24"/>
        </w:rPr>
        <w:t>concept by David W. Keck on behalf of BWJP</w:t>
      </w:r>
      <w:r w:rsidR="000B010A">
        <w:rPr>
          <w:rFonts w:ascii="Times New Roman" w:hAnsi="Times New Roman" w:cs="Times New Roman"/>
          <w:sz w:val="24"/>
          <w:szCs w:val="24"/>
        </w:rPr>
        <w:t>.</w:t>
      </w:r>
    </w:p>
    <w:p w14:paraId="1EBB6888" w14:textId="77777777" w:rsidR="007B66FF" w:rsidRPr="000B010A" w:rsidRDefault="007B66FF" w:rsidP="007B66FF">
      <w:pPr>
        <w:spacing w:after="0" w:line="240" w:lineRule="auto"/>
        <w:rPr>
          <w:rFonts w:ascii="Times New Roman" w:hAnsi="Times New Roman" w:cs="Times New Roman"/>
          <w:sz w:val="24"/>
          <w:szCs w:val="24"/>
        </w:rPr>
      </w:pPr>
    </w:p>
    <w:p w14:paraId="36F42F06" w14:textId="77777777" w:rsidR="000B010A" w:rsidRDefault="000B010A" w:rsidP="007B66FF">
      <w:pPr>
        <w:rPr>
          <w:rFonts w:ascii="Times New Roman" w:hAnsi="Times New Roman" w:cs="Times New Roman"/>
          <w:sz w:val="24"/>
          <w:szCs w:val="24"/>
        </w:rPr>
      </w:pPr>
    </w:p>
    <w:p w14:paraId="75040EFD" w14:textId="77777777" w:rsidR="000B010A" w:rsidRDefault="000B010A" w:rsidP="007B66FF">
      <w:pPr>
        <w:rPr>
          <w:rFonts w:ascii="Times New Roman" w:hAnsi="Times New Roman" w:cs="Times New Roman"/>
          <w:sz w:val="24"/>
          <w:szCs w:val="24"/>
        </w:rPr>
      </w:pPr>
    </w:p>
    <w:p w14:paraId="59F9BF7D" w14:textId="77777777" w:rsidR="000B010A" w:rsidRDefault="000B010A" w:rsidP="007B66FF">
      <w:pPr>
        <w:rPr>
          <w:rFonts w:ascii="Times New Roman" w:hAnsi="Times New Roman" w:cs="Times New Roman"/>
          <w:sz w:val="24"/>
          <w:szCs w:val="24"/>
        </w:rPr>
      </w:pPr>
    </w:p>
    <w:p w14:paraId="324DECCE" w14:textId="77777777" w:rsidR="000B010A" w:rsidRDefault="000B010A" w:rsidP="007B66FF">
      <w:pPr>
        <w:rPr>
          <w:rFonts w:ascii="Times New Roman" w:hAnsi="Times New Roman" w:cs="Times New Roman"/>
          <w:sz w:val="24"/>
          <w:szCs w:val="24"/>
        </w:rPr>
      </w:pPr>
    </w:p>
    <w:p w14:paraId="10055691" w14:textId="77777777" w:rsidR="000B010A" w:rsidRDefault="000B010A" w:rsidP="007B66FF">
      <w:pPr>
        <w:rPr>
          <w:rFonts w:ascii="Times New Roman" w:hAnsi="Times New Roman" w:cs="Times New Roman"/>
          <w:sz w:val="24"/>
          <w:szCs w:val="24"/>
        </w:rPr>
      </w:pPr>
    </w:p>
    <w:p w14:paraId="4545FB6C" w14:textId="77777777" w:rsidR="000B010A" w:rsidRDefault="000B010A" w:rsidP="007B66FF">
      <w:pPr>
        <w:rPr>
          <w:rFonts w:ascii="Times New Roman" w:hAnsi="Times New Roman" w:cs="Times New Roman"/>
          <w:sz w:val="24"/>
          <w:szCs w:val="24"/>
        </w:rPr>
      </w:pPr>
    </w:p>
    <w:p w14:paraId="15C8D2DF" w14:textId="77777777" w:rsidR="000B010A" w:rsidRDefault="000B010A" w:rsidP="007B66FF">
      <w:pPr>
        <w:rPr>
          <w:rFonts w:ascii="Times New Roman" w:hAnsi="Times New Roman" w:cs="Times New Roman"/>
          <w:sz w:val="24"/>
          <w:szCs w:val="24"/>
        </w:rPr>
      </w:pPr>
    </w:p>
    <w:p w14:paraId="620DB26C" w14:textId="77777777" w:rsidR="000B010A" w:rsidRDefault="000B010A" w:rsidP="007B66FF">
      <w:pPr>
        <w:rPr>
          <w:rFonts w:ascii="Times New Roman" w:hAnsi="Times New Roman" w:cs="Times New Roman"/>
          <w:sz w:val="24"/>
          <w:szCs w:val="24"/>
        </w:rPr>
      </w:pPr>
    </w:p>
    <w:p w14:paraId="2C41E462" w14:textId="77777777" w:rsidR="000B010A" w:rsidRDefault="000B010A" w:rsidP="007B66FF">
      <w:pPr>
        <w:rPr>
          <w:rFonts w:ascii="Times New Roman" w:hAnsi="Times New Roman" w:cs="Times New Roman"/>
          <w:sz w:val="24"/>
          <w:szCs w:val="24"/>
        </w:rPr>
      </w:pPr>
    </w:p>
    <w:p w14:paraId="16A5E67A" w14:textId="6FC658A2" w:rsidR="007B66FF" w:rsidRPr="000B010A" w:rsidRDefault="007B66FF" w:rsidP="007B66FF">
      <w:pPr>
        <w:rPr>
          <w:rFonts w:ascii="Times New Roman" w:hAnsi="Times New Roman" w:cs="Times New Roman"/>
          <w:sz w:val="24"/>
          <w:szCs w:val="24"/>
        </w:rPr>
      </w:pPr>
      <w:r w:rsidRPr="000B010A">
        <w:rPr>
          <w:rFonts w:ascii="Times New Roman" w:hAnsi="Times New Roman" w:cs="Times New Roman"/>
          <w:sz w:val="24"/>
          <w:szCs w:val="24"/>
        </w:rPr>
        <w:t xml:space="preserve">© BWJP, 2021.  All Rights Reserved.  Prohibited use without the expressed written consent by BWJP.  To request permission, email </w:t>
      </w:r>
      <w:hyperlink r:id="rId15" w:history="1">
        <w:r w:rsidRPr="000B010A">
          <w:rPr>
            <w:rStyle w:val="Hyperlink"/>
            <w:rFonts w:ascii="Times New Roman" w:hAnsi="Times New Roman" w:cs="Times New Roman"/>
            <w:sz w:val="24"/>
            <w:szCs w:val="24"/>
          </w:rPr>
          <w:t>info@preventdvgunviolence.org</w:t>
        </w:r>
      </w:hyperlink>
      <w:r w:rsidR="000B010A">
        <w:rPr>
          <w:rFonts w:ascii="Times New Roman" w:hAnsi="Times New Roman" w:cs="Times New Roman"/>
          <w:sz w:val="24"/>
          <w:szCs w:val="24"/>
        </w:rPr>
        <w:t xml:space="preserve">. </w:t>
      </w:r>
      <w:r w:rsidRPr="000B010A">
        <w:rPr>
          <w:rFonts w:ascii="Times New Roman" w:hAnsi="Times New Roman" w:cs="Times New Roman"/>
          <w:sz w:val="24"/>
          <w:szCs w:val="24"/>
        </w:rPr>
        <w:t xml:space="preserve"> </w:t>
      </w:r>
    </w:p>
    <w:p w14:paraId="0BB287A8" w14:textId="77777777" w:rsidR="000B010A" w:rsidRDefault="000B010A">
      <w:pPr>
        <w:rPr>
          <w:rFonts w:ascii="Times New Roman" w:hAnsi="Times New Roman" w:cs="Times New Roman"/>
          <w:b/>
          <w:bCs/>
          <w:smallCaps/>
          <w:color w:val="C45911" w:themeColor="accent2" w:themeShade="BF"/>
          <w:sz w:val="24"/>
          <w:szCs w:val="24"/>
        </w:rPr>
      </w:pPr>
    </w:p>
    <w:p w14:paraId="4BD856A1" w14:textId="76E35EA3" w:rsidR="00994C7F" w:rsidRPr="00E10125" w:rsidRDefault="00994C7F">
      <w:pPr>
        <w:rPr>
          <w:rFonts w:ascii="Times New Roman" w:hAnsi="Times New Roman" w:cs="Times New Roman"/>
          <w:smallCaps/>
          <w:sz w:val="32"/>
          <w:szCs w:val="32"/>
        </w:rPr>
      </w:pPr>
      <w:commentRangeStart w:id="1"/>
      <w:r w:rsidRPr="00E10125">
        <w:rPr>
          <w:rFonts w:ascii="Times New Roman" w:hAnsi="Times New Roman" w:cs="Times New Roman"/>
          <w:b/>
          <w:bCs/>
          <w:smallCaps/>
          <w:color w:val="C45911" w:themeColor="accent2" w:themeShade="BF"/>
          <w:sz w:val="28"/>
          <w:szCs w:val="28"/>
        </w:rPr>
        <w:lastRenderedPageBreak/>
        <w:t xml:space="preserve">Abstract </w:t>
      </w:r>
      <w:commentRangeEnd w:id="1"/>
      <w:r w:rsidR="000A0284">
        <w:rPr>
          <w:rStyle w:val="CommentReference"/>
        </w:rPr>
        <w:commentReference w:id="1"/>
      </w:r>
    </w:p>
    <w:p w14:paraId="1BF28CB8" w14:textId="0AA0ED2E" w:rsidR="007B66FF" w:rsidRPr="000B010A" w:rsidRDefault="00896E57" w:rsidP="007B66FF">
      <w:pPr>
        <w:rPr>
          <w:rFonts w:ascii="Times New Roman" w:hAnsi="Times New Roman" w:cs="Times New Roman"/>
          <w:sz w:val="24"/>
          <w:szCs w:val="24"/>
        </w:rPr>
      </w:pPr>
      <w:r w:rsidRPr="000B010A">
        <w:rPr>
          <w:rFonts w:ascii="Times New Roman" w:hAnsi="Times New Roman" w:cs="Times New Roman"/>
          <w:sz w:val="24"/>
          <w:szCs w:val="24"/>
        </w:rPr>
        <w:t xml:space="preserve">Approximately two out of three women murdered each year in this country are killed by a male intimate partner using a firearm. </w:t>
      </w:r>
      <w:r w:rsidR="001435B4" w:rsidRPr="000B010A">
        <w:rPr>
          <w:rFonts w:ascii="Times New Roman" w:hAnsi="Times New Roman" w:cs="Times New Roman"/>
          <w:sz w:val="24"/>
          <w:szCs w:val="24"/>
        </w:rPr>
        <w:t>Previous acts of domestic violence have been identified as a predictive indicator for future violence.</w:t>
      </w:r>
      <w:r w:rsidR="001435B4">
        <w:rPr>
          <w:rFonts w:ascii="Times New Roman" w:hAnsi="Times New Roman" w:cs="Times New Roman"/>
          <w:sz w:val="24"/>
          <w:szCs w:val="24"/>
        </w:rPr>
        <w:t xml:space="preserve"> </w:t>
      </w:r>
      <w:r w:rsidR="00244A2E" w:rsidRPr="000B010A">
        <w:rPr>
          <w:rFonts w:ascii="Times New Roman" w:hAnsi="Times New Roman" w:cs="Times New Roman"/>
          <w:sz w:val="24"/>
          <w:szCs w:val="24"/>
        </w:rPr>
        <w:t>Relinquishment of firearms by domestic abusers has been shown to reduce the number of intimate partner homicides</w:t>
      </w:r>
      <w:r w:rsidR="00DB6AC7">
        <w:rPr>
          <w:rFonts w:ascii="Times New Roman" w:hAnsi="Times New Roman" w:cs="Times New Roman"/>
          <w:sz w:val="24"/>
          <w:szCs w:val="24"/>
        </w:rPr>
        <w:t>.</w:t>
      </w:r>
      <w:r w:rsidR="00DB6AC7" w:rsidRPr="00DB6AC7">
        <w:rPr>
          <w:rFonts w:ascii="Times New Roman" w:hAnsi="Times New Roman" w:cs="Times New Roman"/>
          <w:sz w:val="24"/>
          <w:szCs w:val="24"/>
        </w:rPr>
        <w:t xml:space="preserve"> </w:t>
      </w:r>
      <w:r w:rsidR="00DB6AC7" w:rsidRPr="000B010A">
        <w:rPr>
          <w:rFonts w:ascii="Times New Roman" w:hAnsi="Times New Roman" w:cs="Times New Roman"/>
          <w:sz w:val="24"/>
          <w:szCs w:val="24"/>
        </w:rPr>
        <w:t xml:space="preserve">Federal law prohibits possession and acquisition of firearms and ammunition for </w:t>
      </w:r>
      <w:r w:rsidR="00DB6AC7">
        <w:rPr>
          <w:rFonts w:ascii="Times New Roman" w:hAnsi="Times New Roman" w:cs="Times New Roman"/>
          <w:sz w:val="24"/>
          <w:szCs w:val="24"/>
        </w:rPr>
        <w:t xml:space="preserve">certain </w:t>
      </w:r>
      <w:r w:rsidR="00DB6AC7" w:rsidRPr="000B010A">
        <w:rPr>
          <w:rFonts w:ascii="Times New Roman" w:hAnsi="Times New Roman" w:cs="Times New Roman"/>
          <w:sz w:val="24"/>
          <w:szCs w:val="24"/>
        </w:rPr>
        <w:t xml:space="preserve">individuals found to have committed domestic violence. </w:t>
      </w:r>
      <w:r w:rsidR="00713EB5" w:rsidRPr="00713EB5">
        <w:rPr>
          <w:rFonts w:ascii="Times New Roman" w:hAnsi="Times New Roman" w:cs="Times New Roman"/>
          <w:sz w:val="24"/>
          <w:szCs w:val="24"/>
        </w:rPr>
        <w:t xml:space="preserve"> </w:t>
      </w:r>
      <w:r w:rsidR="00194D7B">
        <w:rPr>
          <w:rFonts w:ascii="Times New Roman" w:hAnsi="Times New Roman" w:cs="Times New Roman"/>
          <w:sz w:val="24"/>
          <w:szCs w:val="24"/>
        </w:rPr>
        <w:t xml:space="preserve">Some states have </w:t>
      </w:r>
      <w:r w:rsidR="00694E0F">
        <w:rPr>
          <w:rFonts w:ascii="Times New Roman" w:hAnsi="Times New Roman" w:cs="Times New Roman"/>
          <w:sz w:val="24"/>
          <w:szCs w:val="24"/>
        </w:rPr>
        <w:t xml:space="preserve">taken the further step of requiring that domestic abusers relinquish their firearms.  These relinquishment mandates are largely ignored, very few states actually enforce them. </w:t>
      </w:r>
      <w:r w:rsidRPr="000B010A">
        <w:rPr>
          <w:rFonts w:ascii="Times New Roman" w:hAnsi="Times New Roman" w:cs="Times New Roman"/>
          <w:sz w:val="24"/>
          <w:szCs w:val="24"/>
        </w:rPr>
        <w:t xml:space="preserve">The </w:t>
      </w:r>
      <w:r w:rsidR="00490D94">
        <w:rPr>
          <w:rFonts w:ascii="Times New Roman" w:hAnsi="Times New Roman" w:cs="Times New Roman"/>
          <w:sz w:val="24"/>
          <w:szCs w:val="24"/>
        </w:rPr>
        <w:t>recommendations</w:t>
      </w:r>
      <w:r w:rsidRPr="000B010A">
        <w:rPr>
          <w:rFonts w:ascii="Times New Roman" w:hAnsi="Times New Roman" w:cs="Times New Roman"/>
          <w:sz w:val="24"/>
          <w:szCs w:val="24"/>
        </w:rPr>
        <w:t xml:space="preserve"> proposed in this document </w:t>
      </w:r>
      <w:r w:rsidR="00490D94">
        <w:rPr>
          <w:rFonts w:ascii="Times New Roman" w:hAnsi="Times New Roman" w:cs="Times New Roman"/>
          <w:sz w:val="24"/>
          <w:szCs w:val="24"/>
        </w:rPr>
        <w:t>are</w:t>
      </w:r>
      <w:r w:rsidR="00490D94" w:rsidRPr="000B010A">
        <w:rPr>
          <w:rFonts w:ascii="Times New Roman" w:hAnsi="Times New Roman" w:cs="Times New Roman"/>
          <w:sz w:val="24"/>
          <w:szCs w:val="24"/>
        </w:rPr>
        <w:t xml:space="preserve"> </w:t>
      </w:r>
      <w:r w:rsidR="00694E0F">
        <w:rPr>
          <w:rFonts w:ascii="Times New Roman" w:hAnsi="Times New Roman" w:cs="Times New Roman"/>
          <w:sz w:val="24"/>
          <w:szCs w:val="24"/>
        </w:rPr>
        <w:t xml:space="preserve">intended to provide </w:t>
      </w:r>
      <w:r w:rsidR="00447C4F">
        <w:rPr>
          <w:rFonts w:ascii="Times New Roman" w:hAnsi="Times New Roman" w:cs="Times New Roman"/>
          <w:sz w:val="24"/>
          <w:szCs w:val="24"/>
        </w:rPr>
        <w:t>guidance for effective implementation of existing laws.</w:t>
      </w:r>
      <w:r w:rsidRPr="000B010A">
        <w:rPr>
          <w:rFonts w:ascii="Times New Roman" w:hAnsi="Times New Roman" w:cs="Times New Roman"/>
          <w:sz w:val="24"/>
          <w:szCs w:val="24"/>
        </w:rPr>
        <w:t xml:space="preserve"> </w:t>
      </w:r>
    </w:p>
    <w:p w14:paraId="7FAFA33B" w14:textId="54DC5862" w:rsidR="00DE5C35" w:rsidRPr="00E10125" w:rsidRDefault="003B0A1E" w:rsidP="007B66FF">
      <w:pPr>
        <w:rPr>
          <w:rFonts w:ascii="Times New Roman" w:hAnsi="Times New Roman" w:cs="Times New Roman"/>
          <w:b/>
          <w:bCs/>
          <w:smallCaps/>
          <w:color w:val="C45911" w:themeColor="accent2" w:themeShade="BF"/>
          <w:sz w:val="28"/>
          <w:szCs w:val="28"/>
        </w:rPr>
      </w:pPr>
      <w:r w:rsidRPr="00E10125">
        <w:rPr>
          <w:rFonts w:ascii="Times New Roman" w:hAnsi="Times New Roman" w:cs="Times New Roman"/>
          <w:b/>
          <w:bCs/>
          <w:smallCaps/>
          <w:color w:val="C45911" w:themeColor="accent2" w:themeShade="BF"/>
          <w:sz w:val="28"/>
          <w:szCs w:val="28"/>
        </w:rPr>
        <w:t xml:space="preserve">Overview </w:t>
      </w:r>
    </w:p>
    <w:p w14:paraId="6F8FA676" w14:textId="31C00D6E" w:rsidR="006F39DF" w:rsidRPr="000B010A" w:rsidRDefault="00AB409D" w:rsidP="00994C7F">
      <w:pPr>
        <w:jc w:val="both"/>
        <w:rPr>
          <w:rFonts w:ascii="Times New Roman" w:eastAsia="Times New Roman" w:hAnsi="Times New Roman" w:cs="Times New Roman"/>
          <w:sz w:val="24"/>
          <w:szCs w:val="24"/>
          <w:bdr w:val="none" w:sz="0" w:space="0" w:color="auto" w:frame="1"/>
        </w:rPr>
      </w:pPr>
      <w:r w:rsidRPr="000B010A">
        <w:rPr>
          <w:rFonts w:ascii="Times New Roman" w:eastAsia="Times New Roman" w:hAnsi="Times New Roman" w:cs="Times New Roman"/>
          <w:sz w:val="24"/>
          <w:szCs w:val="24"/>
          <w:bdr w:val="none" w:sz="0" w:space="0" w:color="auto" w:frame="1"/>
        </w:rPr>
        <w:t>Once a person is</w:t>
      </w:r>
      <w:r w:rsidR="0038509D" w:rsidRPr="000B010A">
        <w:rPr>
          <w:rFonts w:ascii="Times New Roman" w:eastAsia="Times New Roman" w:hAnsi="Times New Roman" w:cs="Times New Roman"/>
          <w:sz w:val="24"/>
          <w:szCs w:val="24"/>
          <w:bdr w:val="none" w:sz="0" w:space="0" w:color="auto" w:frame="1"/>
        </w:rPr>
        <w:t xml:space="preserve"> found by a court to have committed certain domestic violence related offenses</w:t>
      </w:r>
      <w:r w:rsidR="00267812" w:rsidRPr="000B010A">
        <w:rPr>
          <w:rFonts w:ascii="Times New Roman" w:eastAsia="Times New Roman" w:hAnsi="Times New Roman" w:cs="Times New Roman"/>
          <w:sz w:val="24"/>
          <w:szCs w:val="24"/>
          <w:bdr w:val="none" w:sz="0" w:space="0" w:color="auto" w:frame="1"/>
        </w:rPr>
        <w:t>,</w:t>
      </w:r>
      <w:r w:rsidR="0038509D" w:rsidRPr="000B010A">
        <w:rPr>
          <w:rFonts w:ascii="Times New Roman" w:eastAsia="Times New Roman" w:hAnsi="Times New Roman" w:cs="Times New Roman"/>
          <w:sz w:val="24"/>
          <w:szCs w:val="24"/>
          <w:bdr w:val="none" w:sz="0" w:space="0" w:color="auto" w:frame="1"/>
        </w:rPr>
        <w:t xml:space="preserve"> </w:t>
      </w:r>
      <w:r w:rsidR="001B63C6" w:rsidRPr="000B010A">
        <w:rPr>
          <w:rFonts w:ascii="Times New Roman" w:eastAsia="Times New Roman" w:hAnsi="Times New Roman" w:cs="Times New Roman"/>
          <w:sz w:val="24"/>
          <w:szCs w:val="24"/>
          <w:bdr w:val="none" w:sz="0" w:space="0" w:color="auto" w:frame="1"/>
        </w:rPr>
        <w:t xml:space="preserve">they </w:t>
      </w:r>
      <w:r w:rsidR="0038509D" w:rsidRPr="000B010A">
        <w:rPr>
          <w:rFonts w:ascii="Times New Roman" w:eastAsia="Times New Roman" w:hAnsi="Times New Roman" w:cs="Times New Roman"/>
          <w:sz w:val="24"/>
          <w:szCs w:val="24"/>
          <w:bdr w:val="none" w:sz="0" w:space="0" w:color="auto" w:frame="1"/>
        </w:rPr>
        <w:t xml:space="preserve">are </w:t>
      </w:r>
      <w:r w:rsidR="00C70582" w:rsidRPr="000B010A">
        <w:rPr>
          <w:rFonts w:ascii="Times New Roman" w:eastAsia="Times New Roman" w:hAnsi="Times New Roman" w:cs="Times New Roman"/>
          <w:sz w:val="24"/>
          <w:szCs w:val="24"/>
          <w:bdr w:val="none" w:sz="0" w:space="0" w:color="auto" w:frame="1"/>
        </w:rPr>
        <w:t xml:space="preserve">prohibited </w:t>
      </w:r>
      <w:r w:rsidR="0038509D" w:rsidRPr="000B010A">
        <w:rPr>
          <w:rFonts w:ascii="Times New Roman" w:eastAsia="Times New Roman" w:hAnsi="Times New Roman" w:cs="Times New Roman"/>
          <w:sz w:val="24"/>
          <w:szCs w:val="24"/>
          <w:bdr w:val="none" w:sz="0" w:space="0" w:color="auto" w:frame="1"/>
        </w:rPr>
        <w:t>by federal</w:t>
      </w:r>
      <w:r w:rsidR="00490D94">
        <w:rPr>
          <w:rFonts w:ascii="Times New Roman" w:eastAsia="Times New Roman" w:hAnsi="Times New Roman" w:cs="Times New Roman"/>
          <w:sz w:val="24"/>
          <w:szCs w:val="24"/>
          <w:bdr w:val="none" w:sz="0" w:space="0" w:color="auto" w:frame="1"/>
        </w:rPr>
        <w:t xml:space="preserve"> </w:t>
      </w:r>
      <w:r w:rsidR="00CC647A">
        <w:rPr>
          <w:rFonts w:ascii="Times New Roman" w:eastAsia="Times New Roman" w:hAnsi="Times New Roman" w:cs="Times New Roman"/>
          <w:sz w:val="24"/>
          <w:szCs w:val="24"/>
          <w:bdr w:val="none" w:sz="0" w:space="0" w:color="auto" w:frame="1"/>
        </w:rPr>
        <w:t xml:space="preserve">law </w:t>
      </w:r>
      <w:r w:rsidR="00C70582" w:rsidRPr="000B010A">
        <w:rPr>
          <w:rFonts w:ascii="Times New Roman" w:eastAsia="Times New Roman" w:hAnsi="Times New Roman" w:cs="Times New Roman"/>
          <w:sz w:val="24"/>
          <w:szCs w:val="24"/>
          <w:bdr w:val="none" w:sz="0" w:space="0" w:color="auto" w:frame="1"/>
        </w:rPr>
        <w:t>from purchasing or possessing</w:t>
      </w:r>
      <w:r w:rsidR="0038509D" w:rsidRPr="000B010A">
        <w:rPr>
          <w:rFonts w:ascii="Times New Roman" w:eastAsia="Times New Roman" w:hAnsi="Times New Roman" w:cs="Times New Roman"/>
          <w:sz w:val="24"/>
          <w:szCs w:val="24"/>
          <w:bdr w:val="none" w:sz="0" w:space="0" w:color="auto" w:frame="1"/>
        </w:rPr>
        <w:t xml:space="preserve"> firearms.</w:t>
      </w:r>
      <w:r w:rsidR="00EB4263" w:rsidRPr="000B010A">
        <w:rPr>
          <w:rStyle w:val="FootnoteReference"/>
          <w:rFonts w:ascii="Times New Roman" w:eastAsia="Times New Roman" w:hAnsi="Times New Roman" w:cs="Times New Roman"/>
          <w:sz w:val="24"/>
          <w:szCs w:val="24"/>
          <w:bdr w:val="none" w:sz="0" w:space="0" w:color="auto" w:frame="1"/>
        </w:rPr>
        <w:footnoteReference w:id="2"/>
      </w:r>
      <w:r w:rsidR="0038509D" w:rsidRPr="000B010A">
        <w:rPr>
          <w:rFonts w:ascii="Times New Roman" w:eastAsia="Times New Roman" w:hAnsi="Times New Roman" w:cs="Times New Roman"/>
          <w:sz w:val="24"/>
          <w:szCs w:val="24"/>
          <w:bdr w:val="none" w:sz="0" w:space="0" w:color="auto" w:frame="1"/>
        </w:rPr>
        <w:t xml:space="preserve"> </w:t>
      </w:r>
      <w:r w:rsidR="008B2065" w:rsidRPr="000B010A">
        <w:rPr>
          <w:rFonts w:ascii="Times New Roman" w:eastAsia="Times New Roman" w:hAnsi="Times New Roman" w:cs="Times New Roman"/>
          <w:sz w:val="24"/>
          <w:szCs w:val="24"/>
          <w:bdr w:val="none" w:sz="0" w:space="0" w:color="auto" w:frame="1"/>
        </w:rPr>
        <w:t>Unfortunately, f</w:t>
      </w:r>
      <w:r w:rsidR="00DE5C35" w:rsidRPr="000B010A">
        <w:rPr>
          <w:rFonts w:ascii="Times New Roman" w:eastAsia="Times New Roman" w:hAnsi="Times New Roman" w:cs="Times New Roman"/>
          <w:sz w:val="24"/>
          <w:szCs w:val="24"/>
          <w:bdr w:val="none" w:sz="0" w:space="0" w:color="auto" w:frame="1"/>
        </w:rPr>
        <w:t xml:space="preserve">irearm </w:t>
      </w:r>
      <w:r w:rsidR="00DE5C35" w:rsidRPr="000B010A">
        <w:rPr>
          <w:rFonts w:ascii="Times New Roman" w:eastAsia="Times New Roman" w:hAnsi="Times New Roman" w:cs="Times New Roman"/>
          <w:i/>
          <w:iCs/>
          <w:sz w:val="24"/>
          <w:szCs w:val="24"/>
          <w:bdr w:val="none" w:sz="0" w:space="0" w:color="auto" w:frame="1"/>
        </w:rPr>
        <w:t xml:space="preserve">dispossession </w:t>
      </w:r>
      <w:r w:rsidR="002B3120" w:rsidRPr="000B010A">
        <w:rPr>
          <w:rFonts w:ascii="Times New Roman" w:eastAsia="Times New Roman" w:hAnsi="Times New Roman" w:cs="Times New Roman"/>
          <w:sz w:val="24"/>
          <w:szCs w:val="24"/>
          <w:bdr w:val="none" w:sz="0" w:space="0" w:color="auto" w:frame="1"/>
        </w:rPr>
        <w:t xml:space="preserve">is not </w:t>
      </w:r>
      <w:r w:rsidR="00C70582" w:rsidRPr="000B010A">
        <w:rPr>
          <w:rFonts w:ascii="Times New Roman" w:eastAsia="Times New Roman" w:hAnsi="Times New Roman" w:cs="Times New Roman"/>
          <w:sz w:val="24"/>
          <w:szCs w:val="24"/>
          <w:bdr w:val="none" w:sz="0" w:space="0" w:color="auto" w:frame="1"/>
        </w:rPr>
        <w:t xml:space="preserve">mandated by federal law. </w:t>
      </w:r>
      <w:r w:rsidR="006F39DF" w:rsidRPr="000B010A">
        <w:rPr>
          <w:rFonts w:ascii="Times New Roman" w:eastAsia="Times New Roman" w:hAnsi="Times New Roman" w:cs="Times New Roman"/>
          <w:sz w:val="24"/>
          <w:szCs w:val="24"/>
          <w:bdr w:val="none" w:sz="0" w:space="0" w:color="auto" w:frame="1"/>
        </w:rPr>
        <w:t xml:space="preserve"> </w:t>
      </w:r>
      <w:r w:rsidR="00CC647A">
        <w:rPr>
          <w:rFonts w:ascii="Times New Roman" w:eastAsia="Times New Roman" w:hAnsi="Times New Roman" w:cs="Times New Roman"/>
          <w:sz w:val="24"/>
          <w:szCs w:val="24"/>
          <w:bdr w:val="none" w:sz="0" w:space="0" w:color="auto" w:frame="1"/>
        </w:rPr>
        <w:t>Some s</w:t>
      </w:r>
      <w:r w:rsidR="006F39DF" w:rsidRPr="000B010A">
        <w:rPr>
          <w:rFonts w:ascii="Times New Roman" w:eastAsia="Times New Roman" w:hAnsi="Times New Roman" w:cs="Times New Roman"/>
          <w:sz w:val="24"/>
          <w:szCs w:val="24"/>
          <w:bdr w:val="none" w:sz="0" w:space="0" w:color="auto" w:frame="1"/>
        </w:rPr>
        <w:t>tate</w:t>
      </w:r>
      <w:r w:rsidR="00CC647A">
        <w:rPr>
          <w:rFonts w:ascii="Times New Roman" w:eastAsia="Times New Roman" w:hAnsi="Times New Roman" w:cs="Times New Roman"/>
          <w:sz w:val="24"/>
          <w:szCs w:val="24"/>
          <w:bdr w:val="none" w:sz="0" w:space="0" w:color="auto" w:frame="1"/>
        </w:rPr>
        <w:t xml:space="preserve"> laws</w:t>
      </w:r>
      <w:r w:rsidR="006F39DF" w:rsidRPr="000B010A">
        <w:rPr>
          <w:rFonts w:ascii="Times New Roman" w:eastAsia="Times New Roman" w:hAnsi="Times New Roman" w:cs="Times New Roman"/>
          <w:sz w:val="24"/>
          <w:szCs w:val="24"/>
          <w:bdr w:val="none" w:sz="0" w:space="0" w:color="auto" w:frame="1"/>
        </w:rPr>
        <w:t xml:space="preserve"> </w:t>
      </w:r>
      <w:r w:rsidR="00C70582" w:rsidRPr="000B010A">
        <w:rPr>
          <w:rFonts w:ascii="Times New Roman" w:eastAsia="Times New Roman" w:hAnsi="Times New Roman" w:cs="Times New Roman"/>
          <w:sz w:val="24"/>
          <w:szCs w:val="24"/>
          <w:bdr w:val="none" w:sz="0" w:space="0" w:color="auto" w:frame="1"/>
        </w:rPr>
        <w:t xml:space="preserve">mandate </w:t>
      </w:r>
      <w:r w:rsidR="00FC2DB6" w:rsidRPr="000B010A">
        <w:rPr>
          <w:rFonts w:ascii="Times New Roman" w:eastAsia="Times New Roman" w:hAnsi="Times New Roman" w:cs="Times New Roman"/>
          <w:sz w:val="24"/>
          <w:szCs w:val="24"/>
          <w:bdr w:val="none" w:sz="0" w:space="0" w:color="auto" w:frame="1"/>
        </w:rPr>
        <w:t>removal</w:t>
      </w:r>
      <w:r w:rsidR="006F39DF" w:rsidRPr="000B010A">
        <w:rPr>
          <w:rFonts w:ascii="Times New Roman" w:eastAsia="Times New Roman" w:hAnsi="Times New Roman" w:cs="Times New Roman"/>
          <w:sz w:val="24"/>
          <w:szCs w:val="24"/>
          <w:bdr w:val="none" w:sz="0" w:space="0" w:color="auto" w:frame="1"/>
        </w:rPr>
        <w:t xml:space="preserve"> of firearms </w:t>
      </w:r>
      <w:r w:rsidR="00C70582" w:rsidRPr="000B010A">
        <w:rPr>
          <w:rFonts w:ascii="Times New Roman" w:eastAsia="Times New Roman" w:hAnsi="Times New Roman" w:cs="Times New Roman"/>
          <w:sz w:val="24"/>
          <w:szCs w:val="24"/>
          <w:bdr w:val="none" w:sz="0" w:space="0" w:color="auto" w:frame="1"/>
        </w:rPr>
        <w:t>possessed by prohibited persons</w:t>
      </w:r>
      <w:r w:rsidR="006F39DF" w:rsidRPr="000B010A">
        <w:rPr>
          <w:rFonts w:ascii="Times New Roman" w:eastAsia="Times New Roman" w:hAnsi="Times New Roman" w:cs="Times New Roman"/>
          <w:sz w:val="24"/>
          <w:szCs w:val="24"/>
          <w:bdr w:val="none" w:sz="0" w:space="0" w:color="auto" w:frame="1"/>
        </w:rPr>
        <w:t>.</w:t>
      </w:r>
      <w:r w:rsidR="00267812" w:rsidRPr="000B010A">
        <w:rPr>
          <w:rFonts w:ascii="Times New Roman" w:eastAsia="Times New Roman" w:hAnsi="Times New Roman" w:cs="Times New Roman"/>
          <w:sz w:val="24"/>
          <w:szCs w:val="24"/>
          <w:bdr w:val="none" w:sz="0" w:space="0" w:color="auto" w:frame="1"/>
        </w:rPr>
        <w:t xml:space="preserve"> </w:t>
      </w:r>
      <w:r w:rsidR="00CC647A">
        <w:rPr>
          <w:rFonts w:ascii="Times New Roman" w:eastAsia="Times New Roman" w:hAnsi="Times New Roman" w:cs="Times New Roman"/>
          <w:sz w:val="24"/>
          <w:szCs w:val="24"/>
          <w:bdr w:val="none" w:sz="0" w:space="0" w:color="auto" w:frame="1"/>
        </w:rPr>
        <w:t xml:space="preserve">Unfortunately, most states with these laws find them too difficult to implement. </w:t>
      </w:r>
      <w:r w:rsidR="00267812" w:rsidRPr="000B010A">
        <w:rPr>
          <w:rFonts w:ascii="Times New Roman" w:eastAsia="Times New Roman" w:hAnsi="Times New Roman" w:cs="Times New Roman"/>
          <w:sz w:val="24"/>
          <w:szCs w:val="24"/>
          <w:bdr w:val="none" w:sz="0" w:space="0" w:color="auto" w:frame="1"/>
        </w:rPr>
        <w:t>W</w:t>
      </w:r>
      <w:r w:rsidR="00CC647A">
        <w:rPr>
          <w:rFonts w:ascii="Times New Roman" w:eastAsia="Times New Roman" w:hAnsi="Times New Roman" w:cs="Times New Roman"/>
          <w:sz w:val="24"/>
          <w:szCs w:val="24"/>
          <w:bdr w:val="none" w:sz="0" w:space="0" w:color="auto" w:frame="1"/>
        </w:rPr>
        <w:t xml:space="preserve">e a provide </w:t>
      </w:r>
      <w:r w:rsidR="00267812" w:rsidRPr="000B010A">
        <w:rPr>
          <w:rFonts w:ascii="Times New Roman" w:eastAsia="Times New Roman" w:hAnsi="Times New Roman" w:cs="Times New Roman"/>
          <w:sz w:val="24"/>
          <w:szCs w:val="24"/>
          <w:bdr w:val="none" w:sz="0" w:space="0" w:color="auto" w:frame="1"/>
        </w:rPr>
        <w:t xml:space="preserve"> </w:t>
      </w:r>
      <w:r w:rsidR="00CC647A">
        <w:rPr>
          <w:rFonts w:ascii="Times New Roman" w:eastAsia="Times New Roman" w:hAnsi="Times New Roman" w:cs="Times New Roman"/>
          <w:sz w:val="24"/>
          <w:szCs w:val="24"/>
          <w:bdr w:val="none" w:sz="0" w:space="0" w:color="auto" w:frame="1"/>
        </w:rPr>
        <w:t xml:space="preserve">this </w:t>
      </w:r>
      <w:r w:rsidR="00267812" w:rsidRPr="000B010A">
        <w:rPr>
          <w:rFonts w:ascii="Times New Roman" w:eastAsia="Times New Roman" w:hAnsi="Times New Roman" w:cs="Times New Roman"/>
          <w:sz w:val="24"/>
          <w:szCs w:val="24"/>
          <w:bdr w:val="none" w:sz="0" w:space="0" w:color="auto" w:frame="1"/>
        </w:rPr>
        <w:t xml:space="preserve">guidance </w:t>
      </w:r>
      <w:r w:rsidR="00CC647A">
        <w:rPr>
          <w:rFonts w:ascii="Times New Roman" w:eastAsia="Times New Roman" w:hAnsi="Times New Roman" w:cs="Times New Roman"/>
          <w:sz w:val="24"/>
          <w:szCs w:val="24"/>
          <w:bdr w:val="none" w:sz="0" w:space="0" w:color="auto" w:frame="1"/>
        </w:rPr>
        <w:t xml:space="preserve">because </w:t>
      </w:r>
      <w:r w:rsidR="00267812" w:rsidRPr="000B010A">
        <w:rPr>
          <w:rFonts w:ascii="Times New Roman" w:eastAsia="Times New Roman" w:hAnsi="Times New Roman" w:cs="Times New Roman"/>
          <w:sz w:val="24"/>
          <w:szCs w:val="24"/>
          <w:bdr w:val="none" w:sz="0" w:space="0" w:color="auto" w:frame="1"/>
        </w:rPr>
        <w:t>we have seen offenders</w:t>
      </w:r>
      <w:r w:rsidR="00CC647A">
        <w:rPr>
          <w:rFonts w:ascii="Times New Roman" w:eastAsia="Times New Roman" w:hAnsi="Times New Roman" w:cs="Times New Roman"/>
          <w:sz w:val="24"/>
          <w:szCs w:val="24"/>
          <w:bdr w:val="none" w:sz="0" w:space="0" w:color="auto" w:frame="1"/>
        </w:rPr>
        <w:t xml:space="preserve"> </w:t>
      </w:r>
      <w:r w:rsidR="00267812" w:rsidRPr="000B010A">
        <w:rPr>
          <w:rFonts w:ascii="Times New Roman" w:eastAsia="Times New Roman" w:hAnsi="Times New Roman" w:cs="Times New Roman"/>
          <w:sz w:val="24"/>
          <w:szCs w:val="24"/>
          <w:bdr w:val="none" w:sz="0" w:space="0" w:color="auto" w:frame="1"/>
        </w:rPr>
        <w:t xml:space="preserve">commit </w:t>
      </w:r>
      <w:r w:rsidR="00C268E0" w:rsidRPr="000B010A">
        <w:rPr>
          <w:rFonts w:ascii="Times New Roman" w:eastAsia="Times New Roman" w:hAnsi="Times New Roman" w:cs="Times New Roman"/>
          <w:sz w:val="24"/>
          <w:szCs w:val="24"/>
          <w:bdr w:val="none" w:sz="0" w:space="0" w:color="auto" w:frame="1"/>
        </w:rPr>
        <w:t>abuse</w:t>
      </w:r>
      <w:r w:rsidR="00E7344C" w:rsidRPr="000B010A">
        <w:rPr>
          <w:rFonts w:ascii="Times New Roman" w:eastAsia="Times New Roman" w:hAnsi="Times New Roman" w:cs="Times New Roman"/>
          <w:sz w:val="24"/>
          <w:szCs w:val="24"/>
          <w:bdr w:val="none" w:sz="0" w:space="0" w:color="auto" w:frame="1"/>
        </w:rPr>
        <w:t xml:space="preserve"> against their intimate partners</w:t>
      </w:r>
      <w:r w:rsidR="007F7BB2" w:rsidRPr="000B010A">
        <w:rPr>
          <w:rFonts w:ascii="Times New Roman" w:eastAsia="Times New Roman" w:hAnsi="Times New Roman" w:cs="Times New Roman"/>
          <w:sz w:val="24"/>
          <w:szCs w:val="24"/>
          <w:bdr w:val="none" w:sz="0" w:space="0" w:color="auto" w:frame="1"/>
        </w:rPr>
        <w:t xml:space="preserve"> </w:t>
      </w:r>
      <w:r w:rsidR="00CC647A">
        <w:rPr>
          <w:rFonts w:ascii="Times New Roman" w:eastAsia="Times New Roman" w:hAnsi="Times New Roman" w:cs="Times New Roman"/>
          <w:sz w:val="24"/>
          <w:szCs w:val="24"/>
          <w:bdr w:val="none" w:sz="0" w:space="0" w:color="auto" w:frame="1"/>
        </w:rPr>
        <w:t>with</w:t>
      </w:r>
      <w:r w:rsidR="009279F8" w:rsidRPr="000B010A">
        <w:rPr>
          <w:rFonts w:ascii="Times New Roman" w:eastAsia="Times New Roman" w:hAnsi="Times New Roman" w:cs="Times New Roman"/>
          <w:sz w:val="24"/>
          <w:szCs w:val="24"/>
          <w:bdr w:val="none" w:sz="0" w:space="0" w:color="auto" w:frame="1"/>
        </w:rPr>
        <w:t xml:space="preserve"> </w:t>
      </w:r>
      <w:r w:rsidR="00C268E0" w:rsidRPr="000B010A">
        <w:rPr>
          <w:rFonts w:ascii="Times New Roman" w:eastAsia="Times New Roman" w:hAnsi="Times New Roman" w:cs="Times New Roman"/>
          <w:sz w:val="24"/>
          <w:szCs w:val="24"/>
          <w:bdr w:val="none" w:sz="0" w:space="0" w:color="auto" w:frame="1"/>
        </w:rPr>
        <w:t xml:space="preserve">firearms </w:t>
      </w:r>
      <w:r w:rsidR="00E7344C" w:rsidRPr="000B010A">
        <w:rPr>
          <w:rFonts w:ascii="Times New Roman" w:eastAsia="Times New Roman" w:hAnsi="Times New Roman" w:cs="Times New Roman"/>
          <w:sz w:val="24"/>
          <w:szCs w:val="24"/>
          <w:bdr w:val="none" w:sz="0" w:space="0" w:color="auto" w:frame="1"/>
        </w:rPr>
        <w:t xml:space="preserve">even </w:t>
      </w:r>
      <w:r w:rsidR="00C268E0" w:rsidRPr="000B010A">
        <w:rPr>
          <w:rFonts w:ascii="Times New Roman" w:eastAsia="Times New Roman" w:hAnsi="Times New Roman" w:cs="Times New Roman"/>
          <w:sz w:val="24"/>
          <w:szCs w:val="24"/>
          <w:bdr w:val="none" w:sz="0" w:space="0" w:color="auto" w:frame="1"/>
        </w:rPr>
        <w:t xml:space="preserve">after the court orders </w:t>
      </w:r>
      <w:r w:rsidR="000F2D82" w:rsidRPr="000B010A">
        <w:rPr>
          <w:rFonts w:ascii="Times New Roman" w:eastAsia="Times New Roman" w:hAnsi="Times New Roman" w:cs="Times New Roman"/>
          <w:sz w:val="24"/>
          <w:szCs w:val="24"/>
          <w:bdr w:val="none" w:sz="0" w:space="0" w:color="auto" w:frame="1"/>
        </w:rPr>
        <w:t>the</w:t>
      </w:r>
      <w:r w:rsidR="000F2D82">
        <w:rPr>
          <w:rFonts w:ascii="Times New Roman" w:eastAsia="Times New Roman" w:hAnsi="Times New Roman" w:cs="Times New Roman"/>
          <w:sz w:val="24"/>
          <w:szCs w:val="24"/>
          <w:bdr w:val="none" w:sz="0" w:space="0" w:color="auto" w:frame="1"/>
        </w:rPr>
        <w:t xml:space="preserve"> offenders</w:t>
      </w:r>
      <w:r w:rsidR="000F2D82" w:rsidRPr="000B010A">
        <w:rPr>
          <w:rFonts w:ascii="Times New Roman" w:eastAsia="Times New Roman" w:hAnsi="Times New Roman" w:cs="Times New Roman"/>
          <w:sz w:val="24"/>
          <w:szCs w:val="24"/>
          <w:bdr w:val="none" w:sz="0" w:space="0" w:color="auto" w:frame="1"/>
        </w:rPr>
        <w:t xml:space="preserve"> </w:t>
      </w:r>
      <w:r w:rsidR="00C268E0" w:rsidRPr="000B010A">
        <w:rPr>
          <w:rFonts w:ascii="Times New Roman" w:eastAsia="Times New Roman" w:hAnsi="Times New Roman" w:cs="Times New Roman"/>
          <w:sz w:val="24"/>
          <w:szCs w:val="24"/>
          <w:bdr w:val="none" w:sz="0" w:space="0" w:color="auto" w:frame="1"/>
        </w:rPr>
        <w:t>to give them up</w:t>
      </w:r>
      <w:r w:rsidR="00DE5C35" w:rsidRPr="000B010A">
        <w:rPr>
          <w:rFonts w:ascii="Times New Roman" w:eastAsia="Times New Roman" w:hAnsi="Times New Roman" w:cs="Times New Roman"/>
          <w:sz w:val="24"/>
          <w:szCs w:val="24"/>
          <w:bdr w:val="none" w:sz="0" w:space="0" w:color="auto" w:frame="1"/>
        </w:rPr>
        <w:t xml:space="preserve">. </w:t>
      </w:r>
      <w:r w:rsidR="001A4B16">
        <w:rPr>
          <w:rFonts w:ascii="Times New Roman" w:eastAsia="Times New Roman" w:hAnsi="Times New Roman" w:cs="Times New Roman"/>
          <w:sz w:val="24"/>
          <w:szCs w:val="24"/>
          <w:bdr w:val="none" w:sz="0" w:space="0" w:color="auto" w:frame="1"/>
        </w:rPr>
        <w:t xml:space="preserve">This document will address the legal impediments </w:t>
      </w:r>
      <w:r w:rsidR="00F636FF">
        <w:rPr>
          <w:rFonts w:ascii="Times New Roman" w:eastAsia="Times New Roman" w:hAnsi="Times New Roman" w:cs="Times New Roman"/>
          <w:sz w:val="24"/>
          <w:szCs w:val="24"/>
          <w:bdr w:val="none" w:sz="0" w:space="0" w:color="auto" w:frame="1"/>
        </w:rPr>
        <w:t>al</w:t>
      </w:r>
      <w:r w:rsidR="00576DE5">
        <w:rPr>
          <w:rFonts w:ascii="Times New Roman" w:eastAsia="Times New Roman" w:hAnsi="Times New Roman" w:cs="Times New Roman"/>
          <w:sz w:val="24"/>
          <w:szCs w:val="24"/>
          <w:bdr w:val="none" w:sz="0" w:space="0" w:color="auto" w:frame="1"/>
        </w:rPr>
        <w:t xml:space="preserve">ong with </w:t>
      </w:r>
      <w:r w:rsidR="00A03066">
        <w:rPr>
          <w:rFonts w:ascii="Times New Roman" w:eastAsia="Times New Roman" w:hAnsi="Times New Roman" w:cs="Times New Roman"/>
          <w:sz w:val="24"/>
          <w:szCs w:val="24"/>
          <w:bdr w:val="none" w:sz="0" w:space="0" w:color="auto" w:frame="1"/>
        </w:rPr>
        <w:t>other</w:t>
      </w:r>
      <w:r w:rsidR="000D676D">
        <w:rPr>
          <w:rFonts w:ascii="Times New Roman" w:eastAsia="Times New Roman" w:hAnsi="Times New Roman" w:cs="Times New Roman"/>
          <w:sz w:val="24"/>
          <w:szCs w:val="24"/>
          <w:bdr w:val="none" w:sz="0" w:space="0" w:color="auto" w:frame="1"/>
        </w:rPr>
        <w:t xml:space="preserve"> considerations that </w:t>
      </w:r>
      <w:r w:rsidR="001512B6">
        <w:rPr>
          <w:rFonts w:ascii="Times New Roman" w:eastAsia="Times New Roman" w:hAnsi="Times New Roman" w:cs="Times New Roman"/>
          <w:sz w:val="24"/>
          <w:szCs w:val="24"/>
          <w:bdr w:val="none" w:sz="0" w:space="0" w:color="auto" w:frame="1"/>
        </w:rPr>
        <w:t>jurisdictions</w:t>
      </w:r>
      <w:r w:rsidR="00104FA0">
        <w:rPr>
          <w:rFonts w:ascii="Times New Roman" w:eastAsia="Times New Roman" w:hAnsi="Times New Roman" w:cs="Times New Roman"/>
          <w:sz w:val="24"/>
          <w:szCs w:val="24"/>
          <w:bdr w:val="none" w:sz="0" w:space="0" w:color="auto" w:frame="1"/>
        </w:rPr>
        <w:t xml:space="preserve"> face when implementing firearm relinquishment orders</w:t>
      </w:r>
      <w:r w:rsidR="0093041D">
        <w:rPr>
          <w:rFonts w:ascii="Times New Roman" w:eastAsia="Times New Roman" w:hAnsi="Times New Roman" w:cs="Times New Roman"/>
          <w:sz w:val="24"/>
          <w:szCs w:val="24"/>
          <w:bdr w:val="none" w:sz="0" w:space="0" w:color="auto" w:frame="1"/>
        </w:rPr>
        <w:t xml:space="preserve">. </w:t>
      </w:r>
    </w:p>
    <w:p w14:paraId="6E5824CA" w14:textId="394B6464" w:rsidR="001A1465" w:rsidRPr="000B010A" w:rsidRDefault="006F39DF" w:rsidP="001A1465">
      <w:pPr>
        <w:rPr>
          <w:rFonts w:ascii="Times New Roman" w:hAnsi="Times New Roman" w:cs="Times New Roman"/>
          <w:sz w:val="24"/>
          <w:szCs w:val="24"/>
        </w:rPr>
      </w:pPr>
      <w:r w:rsidRPr="000B010A">
        <w:rPr>
          <w:rFonts w:ascii="Times New Roman" w:eastAsia="Times New Roman" w:hAnsi="Times New Roman" w:cs="Times New Roman"/>
          <w:sz w:val="24"/>
          <w:szCs w:val="24"/>
          <w:bdr w:val="none" w:sz="0" w:space="0" w:color="auto" w:frame="1"/>
        </w:rPr>
        <w:t xml:space="preserve">As the National Resource on Domestic Violence and Firearms, BWJP has developed a </w:t>
      </w:r>
      <w:r w:rsidR="001A1465" w:rsidRPr="000B010A">
        <w:rPr>
          <w:rFonts w:ascii="Times New Roman" w:eastAsia="Times New Roman" w:hAnsi="Times New Roman" w:cs="Times New Roman"/>
          <w:sz w:val="24"/>
          <w:szCs w:val="24"/>
          <w:bdr w:val="none" w:sz="0" w:space="0" w:color="auto" w:frame="1"/>
        </w:rPr>
        <w:t>series</w:t>
      </w:r>
      <w:r w:rsidRPr="000B010A">
        <w:rPr>
          <w:rFonts w:ascii="Times New Roman" w:eastAsia="Times New Roman" w:hAnsi="Times New Roman" w:cs="Times New Roman"/>
          <w:sz w:val="24"/>
          <w:szCs w:val="24"/>
          <w:bdr w:val="none" w:sz="0" w:space="0" w:color="auto" w:frame="1"/>
        </w:rPr>
        <w:t xml:space="preserve"> of questions </w:t>
      </w:r>
      <w:r w:rsidR="001A1465" w:rsidRPr="000B010A">
        <w:rPr>
          <w:rFonts w:ascii="Times New Roman" w:hAnsi="Times New Roman" w:cs="Times New Roman"/>
          <w:sz w:val="24"/>
          <w:szCs w:val="24"/>
        </w:rPr>
        <w:t xml:space="preserve">that judges and/or other stakeholders can utilize to determine if they have entered an effective firearm surrender order. </w:t>
      </w:r>
    </w:p>
    <w:p w14:paraId="77C51716" w14:textId="0AEB7FC9" w:rsidR="001A1465" w:rsidRPr="000B010A" w:rsidRDefault="001A1465" w:rsidP="001A1465">
      <w:pPr>
        <w:pStyle w:val="ListParagraph"/>
        <w:numPr>
          <w:ilvl w:val="0"/>
          <w:numId w:val="11"/>
        </w:numPr>
        <w:rPr>
          <w:rFonts w:ascii="Times New Roman" w:eastAsia="Times New Roman" w:hAnsi="Times New Roman" w:cs="Times New Roman"/>
          <w:sz w:val="24"/>
          <w:szCs w:val="24"/>
          <w:bdr w:val="none" w:sz="0" w:space="0" w:color="auto" w:frame="1"/>
        </w:rPr>
      </w:pPr>
      <w:commentRangeStart w:id="2"/>
      <w:r w:rsidRPr="000B010A">
        <w:rPr>
          <w:rFonts w:ascii="Times New Roman" w:eastAsia="Times New Roman" w:hAnsi="Times New Roman" w:cs="Times New Roman"/>
          <w:sz w:val="24"/>
          <w:szCs w:val="24"/>
          <w:bdr w:val="none" w:sz="0" w:space="0" w:color="auto" w:frame="1"/>
        </w:rPr>
        <w:t>D</w:t>
      </w:r>
      <w:r w:rsidR="006F39DF" w:rsidRPr="000B010A">
        <w:rPr>
          <w:rFonts w:ascii="Times New Roman" w:hAnsi="Times New Roman" w:cs="Times New Roman"/>
          <w:sz w:val="24"/>
          <w:szCs w:val="24"/>
        </w:rPr>
        <w:t xml:space="preserve">oes the court decision definitively render </w:t>
      </w:r>
      <w:r w:rsidR="000F49D0">
        <w:rPr>
          <w:rFonts w:ascii="Times New Roman" w:hAnsi="Times New Roman" w:cs="Times New Roman"/>
          <w:sz w:val="24"/>
          <w:szCs w:val="24"/>
        </w:rPr>
        <w:t xml:space="preserve">the </w:t>
      </w:r>
      <w:r w:rsidR="006F39DF" w:rsidRPr="000B010A">
        <w:rPr>
          <w:rFonts w:ascii="Times New Roman" w:hAnsi="Times New Roman" w:cs="Times New Roman"/>
          <w:sz w:val="24"/>
          <w:szCs w:val="24"/>
        </w:rPr>
        <w:t>defendant</w:t>
      </w:r>
      <w:r w:rsidR="00EB4263" w:rsidRPr="000B010A">
        <w:rPr>
          <w:rStyle w:val="FootnoteReference"/>
          <w:rFonts w:ascii="Times New Roman" w:hAnsi="Times New Roman" w:cs="Times New Roman"/>
          <w:sz w:val="24"/>
          <w:szCs w:val="24"/>
        </w:rPr>
        <w:footnoteReference w:id="3"/>
      </w:r>
      <w:r w:rsidR="006F39DF" w:rsidRPr="000B010A">
        <w:rPr>
          <w:rFonts w:ascii="Times New Roman" w:hAnsi="Times New Roman" w:cs="Times New Roman"/>
          <w:sz w:val="24"/>
          <w:szCs w:val="24"/>
        </w:rPr>
        <w:t xml:space="preserve"> ineligible to possess guns? </w:t>
      </w:r>
    </w:p>
    <w:p w14:paraId="10DC7116" w14:textId="2EABE71B" w:rsidR="001A1465" w:rsidRPr="000B010A" w:rsidRDefault="001A1465" w:rsidP="001A1465">
      <w:pPr>
        <w:pStyle w:val="ListParagraph"/>
        <w:numPr>
          <w:ilvl w:val="0"/>
          <w:numId w:val="11"/>
        </w:numPr>
        <w:rPr>
          <w:rFonts w:ascii="Times New Roman" w:eastAsia="Times New Roman" w:hAnsi="Times New Roman" w:cs="Times New Roman"/>
          <w:sz w:val="24"/>
          <w:szCs w:val="24"/>
          <w:bdr w:val="none" w:sz="0" w:space="0" w:color="auto" w:frame="1"/>
        </w:rPr>
      </w:pPr>
      <w:r w:rsidRPr="000B010A">
        <w:rPr>
          <w:rFonts w:ascii="Times New Roman" w:hAnsi="Times New Roman" w:cs="Times New Roman"/>
          <w:sz w:val="24"/>
          <w:szCs w:val="24"/>
        </w:rPr>
        <w:t>D</w:t>
      </w:r>
      <w:r w:rsidR="006F39DF" w:rsidRPr="000B010A">
        <w:rPr>
          <w:rFonts w:ascii="Times New Roman" w:hAnsi="Times New Roman" w:cs="Times New Roman"/>
          <w:sz w:val="24"/>
          <w:szCs w:val="24"/>
        </w:rPr>
        <w:t>oes the defendant possess guns?</w:t>
      </w:r>
      <w:r w:rsidR="006F39DF" w:rsidRPr="000B010A">
        <w:rPr>
          <w:rFonts w:ascii="Times New Roman" w:eastAsia="Times New Roman" w:hAnsi="Times New Roman" w:cs="Times New Roman"/>
          <w:sz w:val="24"/>
          <w:szCs w:val="24"/>
          <w:bdr w:val="none" w:sz="0" w:space="0" w:color="auto" w:frame="1"/>
        </w:rPr>
        <w:t xml:space="preserve"> </w:t>
      </w:r>
    </w:p>
    <w:p w14:paraId="1B52C8E1" w14:textId="39501F74" w:rsidR="001A1465" w:rsidRPr="000B010A" w:rsidRDefault="001A1465" w:rsidP="001A1465">
      <w:pPr>
        <w:pStyle w:val="ListParagraph"/>
        <w:numPr>
          <w:ilvl w:val="0"/>
          <w:numId w:val="11"/>
        </w:numPr>
        <w:rPr>
          <w:rFonts w:ascii="Times New Roman" w:eastAsia="Times New Roman" w:hAnsi="Times New Roman" w:cs="Times New Roman"/>
          <w:sz w:val="24"/>
          <w:szCs w:val="24"/>
          <w:bdr w:val="none" w:sz="0" w:space="0" w:color="auto" w:frame="1"/>
        </w:rPr>
      </w:pPr>
      <w:r w:rsidRPr="000B010A">
        <w:rPr>
          <w:rFonts w:ascii="Times New Roman" w:eastAsia="Times New Roman" w:hAnsi="Times New Roman" w:cs="Times New Roman"/>
          <w:sz w:val="24"/>
          <w:szCs w:val="24"/>
          <w:bdr w:val="none" w:sz="0" w:space="0" w:color="auto" w:frame="1"/>
        </w:rPr>
        <w:t>H</w:t>
      </w:r>
      <w:r w:rsidR="006F39DF" w:rsidRPr="000B010A">
        <w:rPr>
          <w:rFonts w:ascii="Times New Roman" w:hAnsi="Times New Roman" w:cs="Times New Roman"/>
          <w:sz w:val="24"/>
          <w:szCs w:val="24"/>
        </w:rPr>
        <w:t>as the court specifically ordered surrender of those guns?</w:t>
      </w:r>
      <w:r w:rsidR="006F39DF" w:rsidRPr="000B010A">
        <w:rPr>
          <w:rFonts w:ascii="Times New Roman" w:eastAsia="Times New Roman" w:hAnsi="Times New Roman" w:cs="Times New Roman"/>
          <w:sz w:val="24"/>
          <w:szCs w:val="24"/>
          <w:bdr w:val="none" w:sz="0" w:space="0" w:color="auto" w:frame="1"/>
        </w:rPr>
        <w:t xml:space="preserve"> </w:t>
      </w:r>
    </w:p>
    <w:p w14:paraId="43E1FD37" w14:textId="04CFDE9D" w:rsidR="006F39DF" w:rsidRPr="000B010A" w:rsidRDefault="001A1465" w:rsidP="001A1465">
      <w:pPr>
        <w:pStyle w:val="ListParagraph"/>
        <w:numPr>
          <w:ilvl w:val="0"/>
          <w:numId w:val="11"/>
        </w:numPr>
        <w:rPr>
          <w:rFonts w:ascii="Times New Roman" w:eastAsia="Times New Roman" w:hAnsi="Times New Roman" w:cs="Times New Roman"/>
          <w:sz w:val="24"/>
          <w:szCs w:val="24"/>
          <w:bdr w:val="none" w:sz="0" w:space="0" w:color="auto" w:frame="1"/>
        </w:rPr>
      </w:pPr>
      <w:r w:rsidRPr="000B010A">
        <w:rPr>
          <w:rFonts w:ascii="Times New Roman" w:eastAsia="Times New Roman" w:hAnsi="Times New Roman" w:cs="Times New Roman"/>
          <w:sz w:val="24"/>
          <w:szCs w:val="24"/>
          <w:bdr w:val="none" w:sz="0" w:space="0" w:color="auto" w:frame="1"/>
        </w:rPr>
        <w:t>I</w:t>
      </w:r>
      <w:r w:rsidR="006F39DF" w:rsidRPr="000B010A">
        <w:rPr>
          <w:rFonts w:ascii="Times New Roman" w:hAnsi="Times New Roman" w:cs="Times New Roman"/>
          <w:sz w:val="24"/>
          <w:szCs w:val="24"/>
        </w:rPr>
        <w:t>s there a means of ensuring compliance?</w:t>
      </w:r>
      <w:commentRangeEnd w:id="2"/>
      <w:r w:rsidR="000A0284">
        <w:rPr>
          <w:rStyle w:val="CommentReference"/>
        </w:rPr>
        <w:commentReference w:id="2"/>
      </w:r>
    </w:p>
    <w:p w14:paraId="6147B5EF" w14:textId="5FDFCAA3" w:rsidR="006F39DF" w:rsidRPr="000B010A" w:rsidRDefault="006F39DF" w:rsidP="006F39DF">
      <w:pPr>
        <w:rPr>
          <w:rFonts w:ascii="Times New Roman" w:hAnsi="Times New Roman" w:cs="Times New Roman"/>
          <w:sz w:val="24"/>
          <w:szCs w:val="24"/>
        </w:rPr>
      </w:pPr>
      <w:r w:rsidRPr="000B010A">
        <w:rPr>
          <w:rFonts w:ascii="Times New Roman" w:hAnsi="Times New Roman" w:cs="Times New Roman"/>
          <w:sz w:val="24"/>
          <w:szCs w:val="24"/>
        </w:rPr>
        <w:t xml:space="preserve">This model protocol contemplates a firearm relinquishment process which emphasizes public safety through separation of domestic abusers from their firearms. </w:t>
      </w:r>
      <w:commentRangeStart w:id="3"/>
      <w:r w:rsidR="003B0A1E" w:rsidRPr="000B010A">
        <w:rPr>
          <w:rFonts w:ascii="Times New Roman" w:hAnsi="Times New Roman" w:cs="Times New Roman"/>
          <w:sz w:val="24"/>
          <w:szCs w:val="24"/>
        </w:rPr>
        <w:t xml:space="preserve">We do not need new laws to achieve uniform relinquishment. </w:t>
      </w:r>
      <w:commentRangeEnd w:id="3"/>
      <w:r w:rsidR="00C20261">
        <w:rPr>
          <w:rStyle w:val="CommentReference"/>
        </w:rPr>
        <w:commentReference w:id="3"/>
      </w:r>
      <w:r w:rsidRPr="000B010A">
        <w:rPr>
          <w:rFonts w:ascii="Times New Roman" w:hAnsi="Times New Roman" w:cs="Times New Roman"/>
          <w:sz w:val="24"/>
          <w:szCs w:val="24"/>
        </w:rPr>
        <w:t xml:space="preserve">The focus of this discussion is on the most effective means of legally removing firearms from individuals determined by the legal system to be ineligible to possess or acquire them. </w:t>
      </w:r>
      <w:r w:rsidR="00C70582" w:rsidRPr="000B010A">
        <w:rPr>
          <w:rFonts w:ascii="Times New Roman" w:hAnsi="Times New Roman" w:cs="Times New Roman"/>
          <w:sz w:val="24"/>
          <w:szCs w:val="24"/>
        </w:rPr>
        <w:t xml:space="preserve">This </w:t>
      </w:r>
      <w:r w:rsidRPr="000B010A">
        <w:rPr>
          <w:rFonts w:ascii="Times New Roman" w:hAnsi="Times New Roman" w:cs="Times New Roman"/>
          <w:sz w:val="24"/>
          <w:szCs w:val="24"/>
        </w:rPr>
        <w:t xml:space="preserve">method relies on evidence-based practices which at times may elevate the compelling interest of keeping firearms out of the hands of certain individuals over a more traditional approach of pursuing criminal convictions.   </w:t>
      </w:r>
    </w:p>
    <w:p w14:paraId="16582CF0" w14:textId="18D7C89B" w:rsidR="00397A1E" w:rsidRPr="00E10125" w:rsidRDefault="00397A1E" w:rsidP="00397A1E">
      <w:pPr>
        <w:numPr>
          <w:ilvl w:val="0"/>
          <w:numId w:val="1"/>
        </w:numPr>
        <w:spacing w:after="120" w:line="360" w:lineRule="auto"/>
        <w:contextualSpacing/>
        <w:rPr>
          <w:rFonts w:ascii="Times New Roman" w:hAnsi="Times New Roman" w:cs="Times New Roman"/>
          <w:b/>
          <w:bCs/>
          <w:smallCaps/>
          <w:color w:val="C45911" w:themeColor="accent2" w:themeShade="BF"/>
          <w:sz w:val="28"/>
          <w:szCs w:val="28"/>
        </w:rPr>
      </w:pPr>
      <w:r w:rsidRPr="00E10125">
        <w:rPr>
          <w:rFonts w:ascii="Times New Roman" w:hAnsi="Times New Roman" w:cs="Times New Roman"/>
          <w:b/>
          <w:bCs/>
          <w:smallCaps/>
          <w:color w:val="C45911" w:themeColor="accent2" w:themeShade="BF"/>
          <w:sz w:val="28"/>
          <w:szCs w:val="28"/>
        </w:rPr>
        <w:t>Current Law</w:t>
      </w:r>
    </w:p>
    <w:p w14:paraId="2C6719B8" w14:textId="5AB7A2A6" w:rsidR="001A1465" w:rsidRPr="006A6436" w:rsidRDefault="001A1465" w:rsidP="001A1465">
      <w:pPr>
        <w:rPr>
          <w:rFonts w:ascii="Times New Roman" w:hAnsi="Times New Roman" w:cs="Times New Roman"/>
          <w:sz w:val="24"/>
          <w:szCs w:val="24"/>
        </w:rPr>
      </w:pPr>
      <w:r w:rsidRPr="006A6436">
        <w:rPr>
          <w:rFonts w:ascii="Times New Roman" w:hAnsi="Times New Roman" w:cs="Times New Roman"/>
          <w:sz w:val="24"/>
          <w:szCs w:val="24"/>
        </w:rPr>
        <w:lastRenderedPageBreak/>
        <w:t xml:space="preserve">Federal law prohibits possession and acquisition of firearms and ammunition </w:t>
      </w:r>
      <w:r w:rsidR="000B6B1E">
        <w:rPr>
          <w:rFonts w:ascii="Times New Roman" w:hAnsi="Times New Roman" w:cs="Times New Roman"/>
          <w:sz w:val="24"/>
          <w:szCs w:val="24"/>
        </w:rPr>
        <w:t>by</w:t>
      </w:r>
      <w:r w:rsidR="000B6B1E" w:rsidRPr="006A6436">
        <w:rPr>
          <w:rFonts w:ascii="Times New Roman" w:hAnsi="Times New Roman" w:cs="Times New Roman"/>
          <w:sz w:val="24"/>
          <w:szCs w:val="24"/>
        </w:rPr>
        <w:t xml:space="preserve"> </w:t>
      </w:r>
      <w:r w:rsidRPr="006A6436">
        <w:rPr>
          <w:rFonts w:ascii="Times New Roman" w:hAnsi="Times New Roman" w:cs="Times New Roman"/>
          <w:sz w:val="24"/>
          <w:szCs w:val="24"/>
        </w:rPr>
        <w:t xml:space="preserve">nine categories of individuals.  The model protocol proposed in this document is focused on the two categories which apply specifically to domestic abusers: those subject to </w:t>
      </w:r>
      <w:r w:rsidR="000B6B1E">
        <w:rPr>
          <w:rFonts w:ascii="Times New Roman" w:hAnsi="Times New Roman" w:cs="Times New Roman"/>
          <w:sz w:val="24"/>
          <w:szCs w:val="24"/>
        </w:rPr>
        <w:t>a d</w:t>
      </w:r>
      <w:r w:rsidR="000B6B1E" w:rsidRPr="006A6436">
        <w:rPr>
          <w:rFonts w:ascii="Times New Roman" w:hAnsi="Times New Roman" w:cs="Times New Roman"/>
          <w:sz w:val="24"/>
          <w:szCs w:val="24"/>
        </w:rPr>
        <w:t xml:space="preserve">omestic </w:t>
      </w:r>
      <w:r w:rsidR="000B6B1E">
        <w:rPr>
          <w:rFonts w:ascii="Times New Roman" w:hAnsi="Times New Roman" w:cs="Times New Roman"/>
          <w:sz w:val="24"/>
          <w:szCs w:val="24"/>
        </w:rPr>
        <w:t>v</w:t>
      </w:r>
      <w:r w:rsidR="000B6B1E" w:rsidRPr="006A6436">
        <w:rPr>
          <w:rFonts w:ascii="Times New Roman" w:hAnsi="Times New Roman" w:cs="Times New Roman"/>
          <w:sz w:val="24"/>
          <w:szCs w:val="24"/>
        </w:rPr>
        <w:t xml:space="preserve">iolence </w:t>
      </w:r>
      <w:r w:rsidRPr="006A6436">
        <w:rPr>
          <w:rFonts w:ascii="Times New Roman" w:hAnsi="Times New Roman" w:cs="Times New Roman"/>
          <w:sz w:val="24"/>
          <w:szCs w:val="24"/>
        </w:rPr>
        <w:t>protection order (18 U.S.C. Sec. 922(g)</w:t>
      </w:r>
      <w:r w:rsidR="00C96E17">
        <w:rPr>
          <w:rFonts w:ascii="Times New Roman" w:hAnsi="Times New Roman" w:cs="Times New Roman"/>
          <w:sz w:val="24"/>
          <w:szCs w:val="24"/>
        </w:rPr>
        <w:t>(</w:t>
      </w:r>
      <w:r w:rsidRPr="006A6436">
        <w:rPr>
          <w:rFonts w:ascii="Times New Roman" w:hAnsi="Times New Roman" w:cs="Times New Roman"/>
          <w:sz w:val="24"/>
          <w:szCs w:val="24"/>
        </w:rPr>
        <w:t>8)</w:t>
      </w:r>
      <w:r w:rsidR="00C96E17">
        <w:rPr>
          <w:rFonts w:ascii="Times New Roman" w:hAnsi="Times New Roman" w:cs="Times New Roman"/>
          <w:sz w:val="24"/>
          <w:szCs w:val="24"/>
        </w:rPr>
        <w:t>)</w:t>
      </w:r>
      <w:r w:rsidRPr="006A6436">
        <w:rPr>
          <w:rFonts w:ascii="Times New Roman" w:hAnsi="Times New Roman" w:cs="Times New Roman"/>
          <w:sz w:val="24"/>
          <w:szCs w:val="24"/>
        </w:rPr>
        <w:t>; those convicted of</w:t>
      </w:r>
      <w:r w:rsidR="009B1AFF">
        <w:rPr>
          <w:rFonts w:ascii="Times New Roman" w:hAnsi="Times New Roman" w:cs="Times New Roman"/>
          <w:sz w:val="24"/>
          <w:szCs w:val="24"/>
        </w:rPr>
        <w:t xml:space="preserve"> a</w:t>
      </w:r>
      <w:r w:rsidRPr="006A6436">
        <w:rPr>
          <w:rFonts w:ascii="Times New Roman" w:hAnsi="Times New Roman" w:cs="Times New Roman"/>
          <w:sz w:val="24"/>
          <w:szCs w:val="24"/>
        </w:rPr>
        <w:t xml:space="preserve"> </w:t>
      </w:r>
      <w:r w:rsidR="009B1AFF">
        <w:rPr>
          <w:rFonts w:ascii="Times New Roman" w:hAnsi="Times New Roman" w:cs="Times New Roman"/>
          <w:sz w:val="24"/>
          <w:szCs w:val="24"/>
        </w:rPr>
        <w:t>m</w:t>
      </w:r>
      <w:r w:rsidR="009B1AFF" w:rsidRPr="006A6436">
        <w:rPr>
          <w:rFonts w:ascii="Times New Roman" w:hAnsi="Times New Roman" w:cs="Times New Roman"/>
          <w:sz w:val="24"/>
          <w:szCs w:val="24"/>
        </w:rPr>
        <w:t xml:space="preserve">isdemeanor </w:t>
      </w:r>
      <w:r w:rsidR="009B1AFF">
        <w:rPr>
          <w:rFonts w:ascii="Times New Roman" w:hAnsi="Times New Roman" w:cs="Times New Roman"/>
          <w:sz w:val="24"/>
          <w:szCs w:val="24"/>
        </w:rPr>
        <w:t>c</w:t>
      </w:r>
      <w:r w:rsidR="009B1AFF" w:rsidRPr="006A6436">
        <w:rPr>
          <w:rFonts w:ascii="Times New Roman" w:hAnsi="Times New Roman" w:cs="Times New Roman"/>
          <w:sz w:val="24"/>
          <w:szCs w:val="24"/>
        </w:rPr>
        <w:t xml:space="preserve">rime </w:t>
      </w:r>
      <w:r w:rsidRPr="006A6436">
        <w:rPr>
          <w:rFonts w:ascii="Times New Roman" w:hAnsi="Times New Roman" w:cs="Times New Roman"/>
          <w:sz w:val="24"/>
          <w:szCs w:val="24"/>
        </w:rPr>
        <w:t xml:space="preserve">of </w:t>
      </w:r>
      <w:r w:rsidR="009B1AFF">
        <w:rPr>
          <w:rFonts w:ascii="Times New Roman" w:hAnsi="Times New Roman" w:cs="Times New Roman"/>
          <w:sz w:val="24"/>
          <w:szCs w:val="24"/>
        </w:rPr>
        <w:t>d</w:t>
      </w:r>
      <w:r w:rsidR="009B1AFF" w:rsidRPr="006A6436">
        <w:rPr>
          <w:rFonts w:ascii="Times New Roman" w:hAnsi="Times New Roman" w:cs="Times New Roman"/>
          <w:sz w:val="24"/>
          <w:szCs w:val="24"/>
        </w:rPr>
        <w:t xml:space="preserve">omestic </w:t>
      </w:r>
      <w:r w:rsidR="009B1AFF">
        <w:rPr>
          <w:rFonts w:ascii="Times New Roman" w:hAnsi="Times New Roman" w:cs="Times New Roman"/>
          <w:sz w:val="24"/>
          <w:szCs w:val="24"/>
        </w:rPr>
        <w:t>v</w:t>
      </w:r>
      <w:r w:rsidR="009B1AFF" w:rsidRPr="006A6436">
        <w:rPr>
          <w:rFonts w:ascii="Times New Roman" w:hAnsi="Times New Roman" w:cs="Times New Roman"/>
          <w:sz w:val="24"/>
          <w:szCs w:val="24"/>
        </w:rPr>
        <w:t xml:space="preserve">iolence </w:t>
      </w:r>
      <w:r w:rsidRPr="006A6436">
        <w:rPr>
          <w:rFonts w:ascii="Times New Roman" w:hAnsi="Times New Roman" w:cs="Times New Roman"/>
          <w:sz w:val="24"/>
          <w:szCs w:val="24"/>
        </w:rPr>
        <w:t>(18 U.S.C. Sec. 922 (g)</w:t>
      </w:r>
      <w:r w:rsidR="009B1AFF">
        <w:rPr>
          <w:rFonts w:ascii="Times New Roman" w:hAnsi="Times New Roman" w:cs="Times New Roman"/>
          <w:sz w:val="24"/>
          <w:szCs w:val="24"/>
        </w:rPr>
        <w:t>(</w:t>
      </w:r>
      <w:r w:rsidRPr="006A6436">
        <w:rPr>
          <w:rFonts w:ascii="Times New Roman" w:hAnsi="Times New Roman" w:cs="Times New Roman"/>
          <w:sz w:val="24"/>
          <w:szCs w:val="24"/>
        </w:rPr>
        <w:t>9)</w:t>
      </w:r>
      <w:r w:rsidR="009B1AFF">
        <w:rPr>
          <w:rFonts w:ascii="Times New Roman" w:hAnsi="Times New Roman" w:cs="Times New Roman"/>
          <w:sz w:val="24"/>
          <w:szCs w:val="24"/>
        </w:rPr>
        <w:t>)</w:t>
      </w:r>
      <w:r w:rsidR="006A6436" w:rsidRPr="006A6436">
        <w:rPr>
          <w:rFonts w:ascii="Times New Roman" w:hAnsi="Times New Roman" w:cs="Times New Roman"/>
          <w:sz w:val="24"/>
          <w:szCs w:val="24"/>
        </w:rPr>
        <w:t>.</w:t>
      </w:r>
      <w:r w:rsidR="000F61AD">
        <w:rPr>
          <w:rStyle w:val="FootnoteReference"/>
          <w:rFonts w:ascii="Times New Roman" w:hAnsi="Times New Roman" w:cs="Times New Roman"/>
          <w:sz w:val="24"/>
          <w:szCs w:val="24"/>
        </w:rPr>
        <w:footnoteReference w:id="4"/>
      </w:r>
      <w:r w:rsidR="006A6436" w:rsidRPr="006A6436">
        <w:rPr>
          <w:rFonts w:ascii="Times New Roman" w:hAnsi="Times New Roman" w:cs="Times New Roman"/>
          <w:sz w:val="24"/>
          <w:szCs w:val="24"/>
        </w:rPr>
        <w:t xml:space="preserve"> </w:t>
      </w:r>
      <w:r w:rsidRPr="006A6436">
        <w:rPr>
          <w:rFonts w:ascii="Times New Roman" w:hAnsi="Times New Roman" w:cs="Times New Roman"/>
          <w:sz w:val="24"/>
          <w:szCs w:val="24"/>
        </w:rPr>
        <w:t>Firearm relinquishment, where it is systematically practiced, mostly centers around domestic violence prohibitors.  Domestic violence has been identified as a predictive indicator for future violence.  This may be one reason why relinquishment of firearms by domestic abusers results in reduction of intimate partner homicide.</w:t>
      </w:r>
    </w:p>
    <w:p w14:paraId="69FABD67" w14:textId="6D427139" w:rsidR="001A1465" w:rsidRPr="000B010A" w:rsidRDefault="001A1465" w:rsidP="001A1465">
      <w:pPr>
        <w:rPr>
          <w:rFonts w:ascii="Times New Roman" w:hAnsi="Times New Roman" w:cs="Times New Roman"/>
          <w:sz w:val="24"/>
          <w:szCs w:val="24"/>
        </w:rPr>
      </w:pPr>
      <w:r w:rsidRPr="000B010A">
        <w:rPr>
          <w:rFonts w:ascii="Times New Roman" w:hAnsi="Times New Roman" w:cs="Times New Roman"/>
          <w:sz w:val="24"/>
          <w:szCs w:val="24"/>
        </w:rPr>
        <w:t>Federal law does not require relinquishment of firearms for prohibited individuals.  Explicitly federal law does not authorize relinquishment orders, nor does it prevent their implementation at the state level.  Relinquishment orders are implicitly authorized in the sense that the law provides penalties for those individuals who do not voluntarily dispossess themselves of their guns.  Violators are prosecuted for possessing or acquiring guns while under a prohibition, but there is no</w:t>
      </w:r>
      <w:r w:rsidR="00325C1C">
        <w:rPr>
          <w:rFonts w:ascii="Times New Roman" w:hAnsi="Times New Roman" w:cs="Times New Roman"/>
          <w:sz w:val="24"/>
          <w:szCs w:val="24"/>
        </w:rPr>
        <w:t xml:space="preserve"> explicit</w:t>
      </w:r>
      <w:r w:rsidRPr="000B010A">
        <w:rPr>
          <w:rFonts w:ascii="Times New Roman" w:hAnsi="Times New Roman" w:cs="Times New Roman"/>
          <w:sz w:val="24"/>
          <w:szCs w:val="24"/>
        </w:rPr>
        <w:t xml:space="preserve"> obligation to relinquish.  </w:t>
      </w:r>
    </w:p>
    <w:p w14:paraId="309E2117" w14:textId="5F8805CB" w:rsidR="001A1465" w:rsidRPr="000B010A" w:rsidRDefault="001A1465" w:rsidP="001A1465">
      <w:pPr>
        <w:jc w:val="both"/>
        <w:rPr>
          <w:rFonts w:ascii="Times New Roman" w:eastAsia="Times New Roman" w:hAnsi="Times New Roman" w:cs="Times New Roman"/>
          <w:sz w:val="24"/>
          <w:szCs w:val="24"/>
          <w:bdr w:val="none" w:sz="0" w:space="0" w:color="auto" w:frame="1"/>
        </w:rPr>
      </w:pPr>
      <w:r w:rsidRPr="000B010A">
        <w:rPr>
          <w:rFonts w:ascii="Times New Roman" w:eastAsia="Times New Roman" w:hAnsi="Times New Roman" w:cs="Times New Roman"/>
          <w:sz w:val="24"/>
          <w:szCs w:val="24"/>
          <w:bdr w:val="none" w:sz="0" w:space="0" w:color="auto" w:frame="1"/>
        </w:rPr>
        <w:t>Sixteen states expressly require all individuals convicted of domestic violence crimes to relinquish their firearms after conviction.  Seventeen states explicitly require all people subject to domestic violence restraining orders to relinquish their firearms for the duration of the court order.</w:t>
      </w:r>
    </w:p>
    <w:p w14:paraId="38A3FBE4" w14:textId="66D894E7" w:rsidR="00DE5C35" w:rsidRPr="000B010A" w:rsidRDefault="001A1465" w:rsidP="00994C7F">
      <w:pPr>
        <w:jc w:val="both"/>
        <w:rPr>
          <w:rFonts w:ascii="Times New Roman" w:eastAsia="Times New Roman" w:hAnsi="Times New Roman" w:cs="Times New Roman"/>
          <w:color w:val="C00000"/>
          <w:sz w:val="24"/>
          <w:szCs w:val="24"/>
          <w:bdr w:val="none" w:sz="0" w:space="0" w:color="auto" w:frame="1"/>
        </w:rPr>
      </w:pPr>
      <w:r w:rsidRPr="000B010A">
        <w:rPr>
          <w:rFonts w:ascii="Times New Roman" w:hAnsi="Times New Roman" w:cs="Times New Roman"/>
          <w:sz w:val="24"/>
          <w:szCs w:val="24"/>
        </w:rPr>
        <w:t>State law is not uniform. P</w:t>
      </w:r>
      <w:r w:rsidR="003A0D0C" w:rsidRPr="000B010A">
        <w:rPr>
          <w:rFonts w:ascii="Times New Roman" w:hAnsi="Times New Roman" w:cs="Times New Roman"/>
          <w:sz w:val="24"/>
          <w:szCs w:val="24"/>
        </w:rPr>
        <w:t>ractices vary greatly from state to state</w:t>
      </w:r>
      <w:r w:rsidRPr="000B010A">
        <w:rPr>
          <w:rFonts w:ascii="Times New Roman" w:hAnsi="Times New Roman" w:cs="Times New Roman"/>
          <w:sz w:val="24"/>
          <w:szCs w:val="24"/>
        </w:rPr>
        <w:t xml:space="preserve"> and unfortunately even for the states which have</w:t>
      </w:r>
      <w:r w:rsidRPr="000B010A">
        <w:rPr>
          <w:rFonts w:ascii="Times New Roman" w:eastAsia="Times New Roman" w:hAnsi="Times New Roman" w:cs="Times New Roman"/>
          <w:sz w:val="24"/>
          <w:szCs w:val="24"/>
          <w:bdr w:val="none" w:sz="0" w:space="0" w:color="auto" w:frame="1"/>
        </w:rPr>
        <w:t xml:space="preserve"> relinquishment laws </w:t>
      </w:r>
      <w:r w:rsidR="00B44E66" w:rsidRPr="000B010A">
        <w:rPr>
          <w:rFonts w:ascii="Times New Roman" w:eastAsia="Times New Roman" w:hAnsi="Times New Roman" w:cs="Times New Roman"/>
          <w:sz w:val="24"/>
          <w:szCs w:val="24"/>
          <w:bdr w:val="none" w:sz="0" w:space="0" w:color="auto" w:frame="1"/>
        </w:rPr>
        <w:t xml:space="preserve">many remain </w:t>
      </w:r>
      <w:r w:rsidRPr="000B010A">
        <w:rPr>
          <w:rFonts w:ascii="Times New Roman" w:eastAsia="Times New Roman" w:hAnsi="Times New Roman" w:cs="Times New Roman"/>
          <w:sz w:val="24"/>
          <w:szCs w:val="24"/>
          <w:bdr w:val="none" w:sz="0" w:space="0" w:color="auto" w:frame="1"/>
        </w:rPr>
        <w:t>unenforced.</w:t>
      </w:r>
      <w:r w:rsidR="003B0A1E" w:rsidRPr="000B010A">
        <w:rPr>
          <w:rFonts w:ascii="Times New Roman" w:eastAsia="Times New Roman" w:hAnsi="Times New Roman" w:cs="Times New Roman"/>
          <w:sz w:val="24"/>
          <w:szCs w:val="24"/>
          <w:bdr w:val="none" w:sz="0" w:space="0" w:color="auto" w:frame="1"/>
        </w:rPr>
        <w:t xml:space="preserve"> This model protocol does not create new law for states. It creates a framework for states to follow which allows </w:t>
      </w:r>
      <w:r w:rsidR="00A76921">
        <w:rPr>
          <w:rFonts w:ascii="Times New Roman" w:eastAsia="Times New Roman" w:hAnsi="Times New Roman" w:cs="Times New Roman"/>
          <w:sz w:val="24"/>
          <w:szCs w:val="24"/>
          <w:bdr w:val="none" w:sz="0" w:space="0" w:color="auto" w:frame="1"/>
        </w:rPr>
        <w:t xml:space="preserve">for </w:t>
      </w:r>
      <w:r w:rsidR="003B0A1E" w:rsidRPr="000B010A">
        <w:rPr>
          <w:rFonts w:ascii="Times New Roman" w:eastAsia="Times New Roman" w:hAnsi="Times New Roman" w:cs="Times New Roman"/>
          <w:sz w:val="24"/>
          <w:szCs w:val="24"/>
          <w:bdr w:val="none" w:sz="0" w:space="0" w:color="auto" w:frame="1"/>
        </w:rPr>
        <w:t>the effective enforcement of current federal law.</w:t>
      </w:r>
    </w:p>
    <w:p w14:paraId="6155E8FF" w14:textId="76650337" w:rsidR="00E94432" w:rsidRPr="00E10125" w:rsidRDefault="00397A1E" w:rsidP="00994C7F">
      <w:pPr>
        <w:pStyle w:val="ListParagraph"/>
        <w:numPr>
          <w:ilvl w:val="0"/>
          <w:numId w:val="1"/>
        </w:numPr>
        <w:spacing w:after="120" w:line="360" w:lineRule="auto"/>
        <w:rPr>
          <w:rFonts w:ascii="Times New Roman" w:hAnsi="Times New Roman" w:cs="Times New Roman"/>
          <w:b/>
          <w:bCs/>
          <w:smallCaps/>
          <w:sz w:val="24"/>
          <w:szCs w:val="24"/>
        </w:rPr>
      </w:pPr>
      <w:r w:rsidRPr="00E10125">
        <w:rPr>
          <w:rFonts w:ascii="Times New Roman" w:hAnsi="Times New Roman" w:cs="Times New Roman"/>
          <w:b/>
          <w:bCs/>
          <w:smallCaps/>
          <w:color w:val="C45911" w:themeColor="accent2" w:themeShade="BF"/>
          <w:sz w:val="28"/>
          <w:szCs w:val="28"/>
        </w:rPr>
        <w:t xml:space="preserve">Analysis of the protocol </w:t>
      </w:r>
    </w:p>
    <w:p w14:paraId="745F9251" w14:textId="5F3C86FF" w:rsidR="003A0D0C" w:rsidRPr="000B010A" w:rsidRDefault="00E94432" w:rsidP="00994C7F">
      <w:pPr>
        <w:pStyle w:val="ListParagraph"/>
        <w:ind w:left="0"/>
        <w:jc w:val="both"/>
        <w:rPr>
          <w:rFonts w:ascii="Times New Roman" w:hAnsi="Times New Roman" w:cs="Times New Roman"/>
          <w:sz w:val="24"/>
          <w:szCs w:val="24"/>
        </w:rPr>
      </w:pPr>
      <w:r w:rsidRPr="000B010A">
        <w:rPr>
          <w:rFonts w:ascii="Times New Roman" w:hAnsi="Times New Roman" w:cs="Times New Roman"/>
          <w:sz w:val="24"/>
          <w:szCs w:val="24"/>
        </w:rPr>
        <w:t>Th</w:t>
      </w:r>
      <w:r w:rsidR="008C7AEE" w:rsidRPr="000B010A">
        <w:rPr>
          <w:rFonts w:ascii="Times New Roman" w:hAnsi="Times New Roman" w:cs="Times New Roman"/>
          <w:sz w:val="24"/>
          <w:szCs w:val="24"/>
        </w:rPr>
        <w:t xml:space="preserve">e </w:t>
      </w:r>
      <w:r w:rsidR="00E67CA1" w:rsidRPr="000B010A">
        <w:rPr>
          <w:rFonts w:ascii="Times New Roman" w:hAnsi="Times New Roman" w:cs="Times New Roman"/>
          <w:sz w:val="24"/>
          <w:szCs w:val="24"/>
        </w:rPr>
        <w:t xml:space="preserve">Model Protocol for Effective Firearms Relinquishment </w:t>
      </w:r>
      <w:r w:rsidR="008C7AEE" w:rsidRPr="000B010A">
        <w:rPr>
          <w:rFonts w:ascii="Times New Roman" w:hAnsi="Times New Roman" w:cs="Times New Roman"/>
          <w:sz w:val="24"/>
          <w:szCs w:val="24"/>
        </w:rPr>
        <w:t xml:space="preserve">by </w:t>
      </w:r>
      <w:r w:rsidR="00D2559C" w:rsidRPr="000B010A">
        <w:rPr>
          <w:rFonts w:ascii="Times New Roman" w:hAnsi="Times New Roman" w:cs="Times New Roman"/>
          <w:sz w:val="24"/>
          <w:szCs w:val="24"/>
        </w:rPr>
        <w:t xml:space="preserve">BWJP’s </w:t>
      </w:r>
      <w:r w:rsidR="008C7AEE" w:rsidRPr="000B010A">
        <w:rPr>
          <w:rFonts w:ascii="Times New Roman" w:hAnsi="Times New Roman" w:cs="Times New Roman"/>
          <w:sz w:val="24"/>
          <w:szCs w:val="24"/>
        </w:rPr>
        <w:t xml:space="preserve">National Resource Center on Domestic Violence </w:t>
      </w:r>
      <w:r w:rsidR="003A0D0C" w:rsidRPr="000B010A">
        <w:rPr>
          <w:rFonts w:ascii="Times New Roman" w:hAnsi="Times New Roman" w:cs="Times New Roman"/>
          <w:sz w:val="24"/>
          <w:szCs w:val="24"/>
        </w:rPr>
        <w:t xml:space="preserve">and Firearms </w:t>
      </w:r>
      <w:r w:rsidR="00D73FA2" w:rsidRPr="000B010A">
        <w:rPr>
          <w:rFonts w:ascii="Times New Roman" w:hAnsi="Times New Roman" w:cs="Times New Roman"/>
          <w:sz w:val="24"/>
          <w:szCs w:val="24"/>
        </w:rPr>
        <w:t>utilizes</w:t>
      </w:r>
      <w:r w:rsidR="00947CDE" w:rsidRPr="000B010A">
        <w:rPr>
          <w:rFonts w:ascii="Times New Roman" w:hAnsi="Times New Roman" w:cs="Times New Roman"/>
          <w:sz w:val="24"/>
          <w:szCs w:val="24"/>
        </w:rPr>
        <w:t xml:space="preserve"> evidence-based practices</w:t>
      </w:r>
      <w:r w:rsidR="003A0D0C" w:rsidRPr="000B010A">
        <w:rPr>
          <w:rFonts w:ascii="Times New Roman" w:hAnsi="Times New Roman" w:cs="Times New Roman"/>
          <w:sz w:val="24"/>
          <w:szCs w:val="24"/>
        </w:rPr>
        <w:t>. The</w:t>
      </w:r>
      <w:r w:rsidR="00947CDE" w:rsidRPr="000B010A">
        <w:rPr>
          <w:rFonts w:ascii="Times New Roman" w:hAnsi="Times New Roman" w:cs="Times New Roman"/>
          <w:sz w:val="24"/>
          <w:szCs w:val="24"/>
        </w:rPr>
        <w:t xml:space="preserve"> </w:t>
      </w:r>
      <w:r w:rsidR="003A0D0C" w:rsidRPr="000B010A">
        <w:rPr>
          <w:rFonts w:ascii="Times New Roman" w:hAnsi="Times New Roman" w:cs="Times New Roman"/>
          <w:sz w:val="24"/>
          <w:szCs w:val="24"/>
        </w:rPr>
        <w:t>protocol</w:t>
      </w:r>
      <w:r w:rsidR="00FD53F8" w:rsidRPr="000B010A">
        <w:rPr>
          <w:rFonts w:ascii="Times New Roman" w:hAnsi="Times New Roman" w:cs="Times New Roman"/>
          <w:sz w:val="24"/>
          <w:szCs w:val="24"/>
        </w:rPr>
        <w:t xml:space="preserve"> </w:t>
      </w:r>
      <w:r w:rsidR="00D73FA2" w:rsidRPr="000B010A">
        <w:rPr>
          <w:rFonts w:ascii="Times New Roman" w:hAnsi="Times New Roman" w:cs="Times New Roman"/>
          <w:sz w:val="24"/>
          <w:szCs w:val="24"/>
        </w:rPr>
        <w:t>prioritize</w:t>
      </w:r>
      <w:r w:rsidR="003A0D0C" w:rsidRPr="000B010A">
        <w:rPr>
          <w:rFonts w:ascii="Times New Roman" w:hAnsi="Times New Roman" w:cs="Times New Roman"/>
          <w:sz w:val="24"/>
          <w:szCs w:val="24"/>
        </w:rPr>
        <w:t>s</w:t>
      </w:r>
      <w:r w:rsidR="00D73FA2" w:rsidRPr="000B010A">
        <w:rPr>
          <w:rFonts w:ascii="Times New Roman" w:hAnsi="Times New Roman" w:cs="Times New Roman"/>
          <w:sz w:val="24"/>
          <w:szCs w:val="24"/>
        </w:rPr>
        <w:t xml:space="preserve"> the safety-first principle of </w:t>
      </w:r>
      <w:r w:rsidR="00947CDE" w:rsidRPr="000B010A">
        <w:rPr>
          <w:rFonts w:ascii="Times New Roman" w:hAnsi="Times New Roman" w:cs="Times New Roman"/>
          <w:sz w:val="24"/>
          <w:szCs w:val="24"/>
        </w:rPr>
        <w:t>keeping firearms out of the hands of certain individuals over the traditional approach of</w:t>
      </w:r>
      <w:r w:rsidR="00D73FA2" w:rsidRPr="000B010A">
        <w:rPr>
          <w:rFonts w:ascii="Times New Roman" w:hAnsi="Times New Roman" w:cs="Times New Roman"/>
          <w:sz w:val="24"/>
          <w:szCs w:val="24"/>
        </w:rPr>
        <w:t xml:space="preserve"> focusing on </w:t>
      </w:r>
      <w:r w:rsidR="00947CDE" w:rsidRPr="000B010A">
        <w:rPr>
          <w:rFonts w:ascii="Times New Roman" w:hAnsi="Times New Roman" w:cs="Times New Roman"/>
          <w:sz w:val="24"/>
          <w:szCs w:val="24"/>
        </w:rPr>
        <w:t>criminal convictions.</w:t>
      </w:r>
      <w:r w:rsidR="003A0D0C" w:rsidRPr="000B010A">
        <w:rPr>
          <w:rFonts w:ascii="Times New Roman" w:hAnsi="Times New Roman" w:cs="Times New Roman"/>
          <w:sz w:val="24"/>
          <w:szCs w:val="24"/>
        </w:rPr>
        <w:t xml:space="preserve"> Evidence shows that relinquishment of firearms by domestic abusers results in the reduction of intimate partner homicide.</w:t>
      </w:r>
      <w:r w:rsidR="00947CDE" w:rsidRPr="000B010A">
        <w:rPr>
          <w:rFonts w:ascii="Times New Roman" w:hAnsi="Times New Roman" w:cs="Times New Roman"/>
          <w:sz w:val="24"/>
          <w:szCs w:val="24"/>
        </w:rPr>
        <w:t xml:space="preserve"> </w:t>
      </w:r>
    </w:p>
    <w:p w14:paraId="260A5FCF" w14:textId="5884A64B" w:rsidR="00452995" w:rsidRPr="000B010A" w:rsidRDefault="00B463DD" w:rsidP="00C8623A">
      <w:pPr>
        <w:jc w:val="both"/>
        <w:rPr>
          <w:rFonts w:ascii="Times New Roman" w:hAnsi="Times New Roman" w:cs="Times New Roman"/>
          <w:sz w:val="24"/>
          <w:szCs w:val="24"/>
        </w:rPr>
      </w:pPr>
      <w:r w:rsidRPr="000B010A">
        <w:rPr>
          <w:rFonts w:ascii="Times New Roman" w:hAnsi="Times New Roman" w:cs="Times New Roman"/>
          <w:sz w:val="24"/>
          <w:szCs w:val="24"/>
        </w:rPr>
        <w:t>Effectiveness</w:t>
      </w:r>
      <w:r w:rsidR="00947CDE" w:rsidRPr="000B010A">
        <w:rPr>
          <w:rFonts w:ascii="Times New Roman" w:hAnsi="Times New Roman" w:cs="Times New Roman"/>
          <w:sz w:val="24"/>
          <w:szCs w:val="24"/>
        </w:rPr>
        <w:t xml:space="preserve"> is</w:t>
      </w:r>
      <w:r w:rsidRPr="000B010A">
        <w:rPr>
          <w:rFonts w:ascii="Times New Roman" w:hAnsi="Times New Roman" w:cs="Times New Roman"/>
          <w:sz w:val="24"/>
          <w:szCs w:val="24"/>
        </w:rPr>
        <w:t xml:space="preserve"> further</w:t>
      </w:r>
      <w:r w:rsidR="00947CDE" w:rsidRPr="000B010A">
        <w:rPr>
          <w:rFonts w:ascii="Times New Roman" w:hAnsi="Times New Roman" w:cs="Times New Roman"/>
          <w:sz w:val="24"/>
          <w:szCs w:val="24"/>
        </w:rPr>
        <w:t xml:space="preserve"> enhanced by addressing the prohibition as it comes to the court’s attention</w:t>
      </w:r>
      <w:r w:rsidRPr="000B010A">
        <w:rPr>
          <w:rFonts w:ascii="Times New Roman" w:hAnsi="Times New Roman" w:cs="Times New Roman"/>
          <w:sz w:val="24"/>
          <w:szCs w:val="24"/>
        </w:rPr>
        <w:t xml:space="preserve"> to address prohibited status and </w:t>
      </w:r>
      <w:r w:rsidR="00F8426E">
        <w:rPr>
          <w:rFonts w:ascii="Times New Roman" w:hAnsi="Times New Roman" w:cs="Times New Roman"/>
          <w:sz w:val="24"/>
          <w:szCs w:val="24"/>
        </w:rPr>
        <w:t>the</w:t>
      </w:r>
      <w:r w:rsidRPr="000B010A">
        <w:rPr>
          <w:rFonts w:ascii="Times New Roman" w:hAnsi="Times New Roman" w:cs="Times New Roman"/>
          <w:sz w:val="24"/>
          <w:szCs w:val="24"/>
        </w:rPr>
        <w:t xml:space="preserve"> relinquishment order contemporaneously</w:t>
      </w:r>
      <w:r w:rsidR="00947CDE" w:rsidRPr="000B010A">
        <w:rPr>
          <w:rFonts w:ascii="Times New Roman" w:hAnsi="Times New Roman" w:cs="Times New Roman"/>
          <w:sz w:val="24"/>
          <w:szCs w:val="24"/>
        </w:rPr>
        <w:t>.</w:t>
      </w:r>
      <w:r w:rsidR="009279F8" w:rsidRPr="000B010A">
        <w:rPr>
          <w:rFonts w:ascii="Times New Roman" w:hAnsi="Times New Roman" w:cs="Times New Roman"/>
          <w:sz w:val="24"/>
          <w:szCs w:val="24"/>
        </w:rPr>
        <w:t xml:space="preserve"> </w:t>
      </w:r>
    </w:p>
    <w:p w14:paraId="3C74E912" w14:textId="73EC7F15" w:rsidR="00397A1E" w:rsidRPr="000B010A" w:rsidRDefault="00397A1E" w:rsidP="00C8623A">
      <w:pPr>
        <w:jc w:val="both"/>
        <w:rPr>
          <w:rFonts w:ascii="Times New Roman" w:hAnsi="Times New Roman" w:cs="Times New Roman"/>
          <w:sz w:val="24"/>
          <w:szCs w:val="24"/>
        </w:rPr>
      </w:pPr>
      <w:r w:rsidRPr="000B010A">
        <w:rPr>
          <w:rFonts w:ascii="Times New Roman" w:hAnsi="Times New Roman" w:cs="Times New Roman"/>
          <w:sz w:val="24"/>
          <w:szCs w:val="24"/>
        </w:rPr>
        <w:t xml:space="preserve">Each of the four questions are deliberatively </w:t>
      </w:r>
      <w:r w:rsidR="00EB4263" w:rsidRPr="000B010A">
        <w:rPr>
          <w:rFonts w:ascii="Times New Roman" w:hAnsi="Times New Roman" w:cs="Times New Roman"/>
          <w:sz w:val="24"/>
          <w:szCs w:val="24"/>
        </w:rPr>
        <w:t xml:space="preserve">drafted and should be asked in this specific order. They are discussed </w:t>
      </w:r>
      <w:r w:rsidR="00BE0CC7">
        <w:rPr>
          <w:rFonts w:ascii="Times New Roman" w:hAnsi="Times New Roman" w:cs="Times New Roman"/>
          <w:sz w:val="24"/>
          <w:szCs w:val="24"/>
        </w:rPr>
        <w:t xml:space="preserve">in </w:t>
      </w:r>
      <w:r w:rsidR="00EB4263" w:rsidRPr="000B010A">
        <w:rPr>
          <w:rFonts w:ascii="Times New Roman" w:hAnsi="Times New Roman" w:cs="Times New Roman"/>
          <w:sz w:val="24"/>
          <w:szCs w:val="24"/>
        </w:rPr>
        <w:t xml:space="preserve">detail below. </w:t>
      </w:r>
    </w:p>
    <w:p w14:paraId="3981C191" w14:textId="36EA13FE" w:rsidR="00397A1E" w:rsidRPr="000B010A" w:rsidRDefault="00397A1E" w:rsidP="00397A1E">
      <w:pPr>
        <w:pStyle w:val="ListParagraph"/>
        <w:numPr>
          <w:ilvl w:val="0"/>
          <w:numId w:val="12"/>
        </w:numPr>
        <w:rPr>
          <w:rFonts w:ascii="Times New Roman" w:eastAsia="Times New Roman" w:hAnsi="Times New Roman" w:cs="Times New Roman"/>
          <w:sz w:val="24"/>
          <w:szCs w:val="24"/>
          <w:u w:val="single"/>
          <w:bdr w:val="none" w:sz="0" w:space="0" w:color="auto" w:frame="1"/>
        </w:rPr>
      </w:pPr>
      <w:r w:rsidRPr="000B010A">
        <w:rPr>
          <w:rFonts w:ascii="Times New Roman" w:eastAsia="Times New Roman" w:hAnsi="Times New Roman" w:cs="Times New Roman"/>
          <w:sz w:val="24"/>
          <w:szCs w:val="24"/>
          <w:u w:val="single"/>
          <w:bdr w:val="none" w:sz="0" w:space="0" w:color="auto" w:frame="1"/>
        </w:rPr>
        <w:t>D</w:t>
      </w:r>
      <w:r w:rsidRPr="000B010A">
        <w:rPr>
          <w:rFonts w:ascii="Times New Roman" w:hAnsi="Times New Roman" w:cs="Times New Roman"/>
          <w:sz w:val="24"/>
          <w:szCs w:val="24"/>
          <w:u w:val="single"/>
        </w:rPr>
        <w:t xml:space="preserve">oes the court decision definitively render </w:t>
      </w:r>
      <w:r w:rsidR="00274CED">
        <w:rPr>
          <w:rFonts w:ascii="Times New Roman" w:hAnsi="Times New Roman" w:cs="Times New Roman"/>
          <w:sz w:val="24"/>
          <w:szCs w:val="24"/>
          <w:u w:val="single"/>
        </w:rPr>
        <w:t xml:space="preserve">the </w:t>
      </w:r>
      <w:r w:rsidRPr="000B010A">
        <w:rPr>
          <w:rFonts w:ascii="Times New Roman" w:hAnsi="Times New Roman" w:cs="Times New Roman"/>
          <w:sz w:val="24"/>
          <w:szCs w:val="24"/>
          <w:u w:val="single"/>
        </w:rPr>
        <w:t xml:space="preserve">defendant ineligible to possess guns? </w:t>
      </w:r>
    </w:p>
    <w:p w14:paraId="585CDA09" w14:textId="01A4C8A5" w:rsidR="00397A1E" w:rsidRPr="000B010A" w:rsidRDefault="00397A1E" w:rsidP="00397A1E">
      <w:pPr>
        <w:rPr>
          <w:rFonts w:ascii="Times New Roman" w:hAnsi="Times New Roman" w:cs="Times New Roman"/>
          <w:sz w:val="24"/>
          <w:szCs w:val="24"/>
        </w:rPr>
      </w:pPr>
      <w:r w:rsidRPr="70D4F5CE">
        <w:rPr>
          <w:rFonts w:ascii="Times New Roman" w:hAnsi="Times New Roman" w:cs="Times New Roman"/>
          <w:sz w:val="24"/>
          <w:szCs w:val="24"/>
        </w:rPr>
        <w:t xml:space="preserve">The determination that </w:t>
      </w:r>
      <w:r w:rsidR="00274CED" w:rsidRPr="70D4F5CE">
        <w:rPr>
          <w:rFonts w:ascii="Times New Roman" w:hAnsi="Times New Roman" w:cs="Times New Roman"/>
          <w:sz w:val="24"/>
          <w:szCs w:val="24"/>
        </w:rPr>
        <w:t xml:space="preserve">the </w:t>
      </w:r>
      <w:r w:rsidRPr="70D4F5CE">
        <w:rPr>
          <w:rFonts w:ascii="Times New Roman" w:hAnsi="Times New Roman" w:cs="Times New Roman"/>
          <w:sz w:val="24"/>
          <w:szCs w:val="24"/>
        </w:rPr>
        <w:t xml:space="preserve">defendant is ineligible under either federal or state law or both should be made in open court with the parties present. Ideally the court has already advised the parties of this consequence </w:t>
      </w:r>
      <w:r w:rsidRPr="70D4F5CE">
        <w:rPr>
          <w:rFonts w:ascii="Times New Roman" w:hAnsi="Times New Roman" w:cs="Times New Roman"/>
          <w:i/>
          <w:iCs/>
          <w:sz w:val="24"/>
          <w:szCs w:val="24"/>
        </w:rPr>
        <w:t xml:space="preserve">before </w:t>
      </w:r>
      <w:r w:rsidRPr="70D4F5CE">
        <w:rPr>
          <w:rFonts w:ascii="Times New Roman" w:hAnsi="Times New Roman" w:cs="Times New Roman"/>
          <w:sz w:val="24"/>
          <w:szCs w:val="24"/>
        </w:rPr>
        <w:t xml:space="preserve">the parties have committed to a decision that determines the outcome of the court </w:t>
      </w:r>
      <w:r w:rsidRPr="70D4F5CE">
        <w:rPr>
          <w:rFonts w:ascii="Times New Roman" w:hAnsi="Times New Roman" w:cs="Times New Roman"/>
          <w:sz w:val="24"/>
          <w:szCs w:val="24"/>
        </w:rPr>
        <w:lastRenderedPageBreak/>
        <w:t>proceeding.</w:t>
      </w:r>
      <w:r w:rsidR="00323D1C">
        <w:rPr>
          <w:rStyle w:val="FootnoteReference"/>
          <w:rFonts w:ascii="Times New Roman" w:hAnsi="Times New Roman" w:cs="Times New Roman"/>
          <w:sz w:val="24"/>
          <w:szCs w:val="24"/>
        </w:rPr>
        <w:footnoteReference w:id="5"/>
      </w:r>
      <w:r w:rsidRPr="70D4F5CE">
        <w:rPr>
          <w:rFonts w:ascii="Times New Roman" w:hAnsi="Times New Roman" w:cs="Times New Roman"/>
          <w:sz w:val="24"/>
          <w:szCs w:val="24"/>
        </w:rPr>
        <w:t xml:space="preserve">  This is a matter of fairness to the parties.  The purposes of the relinquishment protocol, that is, removal of guns from a prohibited person, are not advanced if someone is caught by surprise after the fact.  </w:t>
      </w:r>
      <w:r w:rsidR="00C904CE" w:rsidRPr="70D4F5CE">
        <w:rPr>
          <w:rFonts w:ascii="Times New Roman" w:hAnsi="Times New Roman" w:cs="Times New Roman"/>
          <w:sz w:val="24"/>
          <w:szCs w:val="24"/>
        </w:rPr>
        <w:t xml:space="preserve">In order to be effective, relinquishment orders must be enforceable.  </w:t>
      </w:r>
      <w:r w:rsidRPr="70D4F5CE">
        <w:rPr>
          <w:rFonts w:ascii="Times New Roman" w:hAnsi="Times New Roman" w:cs="Times New Roman"/>
          <w:sz w:val="24"/>
          <w:szCs w:val="24"/>
        </w:rPr>
        <w:t xml:space="preserve">If a defendant is later found to be in possession of a gun in violation of the law, he should not have the opportunity to claim he was unaware of that consequence.  </w:t>
      </w:r>
    </w:p>
    <w:p w14:paraId="7D256A6D" w14:textId="79777480"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 xml:space="preserve">It should also be noted, however, that many individuals may already be prohibited from possessing guns due to other circumstances.  For reasons already set forth in this discussion, the defendant may have failed to relinquish firearms on previous occasions.  </w:t>
      </w:r>
      <w:commentRangeStart w:id="4"/>
      <w:r w:rsidRPr="000B010A">
        <w:rPr>
          <w:rFonts w:ascii="Times New Roman" w:hAnsi="Times New Roman" w:cs="Times New Roman"/>
          <w:sz w:val="24"/>
          <w:szCs w:val="24"/>
        </w:rPr>
        <w:t xml:space="preserve">The proceedings contemplated here put an end to the defendant’s ability to avoid the consequence of relinquishing firearms.  </w:t>
      </w:r>
      <w:commentRangeEnd w:id="4"/>
      <w:r w:rsidR="00D05829">
        <w:rPr>
          <w:rStyle w:val="CommentReference"/>
        </w:rPr>
        <w:commentReference w:id="4"/>
      </w:r>
      <w:r w:rsidRPr="000B010A">
        <w:rPr>
          <w:rFonts w:ascii="Times New Roman" w:hAnsi="Times New Roman" w:cs="Times New Roman"/>
          <w:sz w:val="24"/>
          <w:szCs w:val="24"/>
        </w:rPr>
        <w:t xml:space="preserve">Having been advised that the current proceeding will result in loss of </w:t>
      </w:r>
      <w:r w:rsidR="00E36C2E">
        <w:rPr>
          <w:rFonts w:ascii="Times New Roman" w:hAnsi="Times New Roman" w:cs="Times New Roman"/>
          <w:sz w:val="24"/>
          <w:szCs w:val="24"/>
        </w:rPr>
        <w:t xml:space="preserve">the </w:t>
      </w:r>
      <w:r w:rsidRPr="000B010A">
        <w:rPr>
          <w:rFonts w:ascii="Times New Roman" w:hAnsi="Times New Roman" w:cs="Times New Roman"/>
          <w:sz w:val="24"/>
          <w:szCs w:val="24"/>
        </w:rPr>
        <w:t>privilege to possess firearms, the defendant then has actual notice that further possession is illegal. If the court then outlines the process by which the defendant is to be dispossessed of firearms, there is no room for ambiguity.</w:t>
      </w:r>
    </w:p>
    <w:p w14:paraId="1F70CBAA" w14:textId="73D14267" w:rsidR="00397A1E" w:rsidRPr="000B010A" w:rsidRDefault="00EB4263" w:rsidP="00EB4263">
      <w:pPr>
        <w:pStyle w:val="ListParagraph"/>
        <w:numPr>
          <w:ilvl w:val="0"/>
          <w:numId w:val="12"/>
        </w:numPr>
        <w:rPr>
          <w:rFonts w:ascii="Times New Roman" w:eastAsia="Times New Roman" w:hAnsi="Times New Roman" w:cs="Times New Roman"/>
          <w:sz w:val="24"/>
          <w:szCs w:val="24"/>
          <w:u w:val="single"/>
          <w:bdr w:val="none" w:sz="0" w:space="0" w:color="auto" w:frame="1"/>
        </w:rPr>
      </w:pPr>
      <w:r w:rsidRPr="000B010A">
        <w:rPr>
          <w:rFonts w:ascii="Times New Roman" w:hAnsi="Times New Roman" w:cs="Times New Roman"/>
          <w:sz w:val="24"/>
          <w:szCs w:val="24"/>
          <w:u w:val="single"/>
        </w:rPr>
        <w:t>Does the defendant possess guns?</w:t>
      </w:r>
      <w:r w:rsidRPr="000B010A">
        <w:rPr>
          <w:rFonts w:ascii="Times New Roman" w:eastAsia="Times New Roman" w:hAnsi="Times New Roman" w:cs="Times New Roman"/>
          <w:sz w:val="24"/>
          <w:szCs w:val="24"/>
          <w:u w:val="single"/>
          <w:bdr w:val="none" w:sz="0" w:space="0" w:color="auto" w:frame="1"/>
        </w:rPr>
        <w:t xml:space="preserve"> </w:t>
      </w:r>
    </w:p>
    <w:p w14:paraId="0F27336B" w14:textId="5F05A3C6"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The court next determines if the now prohibited defendant currently possesses, or has access to, firearms.  With the exception of California, there is no other electronic database documenting this information at either the state or federal level. The court must therefore rely on information gathered at or prior to the hearing.</w:t>
      </w:r>
    </w:p>
    <w:p w14:paraId="6DEC43A5" w14:textId="7ABD8AD1" w:rsidR="00397A1E" w:rsidRPr="000B010A" w:rsidRDefault="00513AEB" w:rsidP="00397A1E">
      <w:pPr>
        <w:rPr>
          <w:rFonts w:ascii="Times New Roman" w:hAnsi="Times New Roman" w:cs="Times New Roman"/>
          <w:sz w:val="24"/>
          <w:szCs w:val="24"/>
        </w:rPr>
      </w:pPr>
      <w:r w:rsidRPr="000B010A">
        <w:rPr>
          <w:rFonts w:ascii="Times New Roman" w:hAnsi="Times New Roman" w:cs="Times New Roman"/>
          <w:sz w:val="24"/>
          <w:szCs w:val="24"/>
        </w:rPr>
        <w:t>In general, t</w:t>
      </w:r>
      <w:r w:rsidR="00397A1E" w:rsidRPr="000B010A">
        <w:rPr>
          <w:rFonts w:ascii="Times New Roman" w:hAnsi="Times New Roman" w:cs="Times New Roman"/>
          <w:sz w:val="24"/>
          <w:szCs w:val="24"/>
        </w:rPr>
        <w:t xml:space="preserve">he second-most reliable source of this information is frequently the victim of the abuse. </w:t>
      </w:r>
      <w:r w:rsidR="00EB4263" w:rsidRPr="000B010A">
        <w:rPr>
          <w:rFonts w:ascii="Times New Roman" w:hAnsi="Times New Roman" w:cs="Times New Roman"/>
          <w:sz w:val="24"/>
          <w:szCs w:val="24"/>
        </w:rPr>
        <w:t>Presumably,</w:t>
      </w:r>
      <w:r w:rsidR="00397A1E" w:rsidRPr="000B010A">
        <w:rPr>
          <w:rFonts w:ascii="Times New Roman" w:hAnsi="Times New Roman" w:cs="Times New Roman"/>
          <w:sz w:val="24"/>
          <w:szCs w:val="24"/>
        </w:rPr>
        <w:t xml:space="preserve"> this individual has an intimate relationship with the defendant, although this is not always true. The victim may have detailed and reliable information with respect to location and number of guns that defendant can access</w:t>
      </w:r>
      <w:r w:rsidR="00F23BE4" w:rsidRPr="000B010A">
        <w:rPr>
          <w:rFonts w:ascii="Times New Roman" w:hAnsi="Times New Roman" w:cs="Times New Roman"/>
          <w:sz w:val="24"/>
          <w:szCs w:val="24"/>
        </w:rPr>
        <w:t xml:space="preserve">. </w:t>
      </w:r>
      <w:commentRangeStart w:id="5"/>
      <w:r w:rsidR="00397A1E" w:rsidRPr="000B010A">
        <w:rPr>
          <w:rFonts w:ascii="Times New Roman" w:hAnsi="Times New Roman" w:cs="Times New Roman"/>
          <w:sz w:val="24"/>
          <w:szCs w:val="24"/>
        </w:rPr>
        <w:t xml:space="preserve">While some victims may choose to provide this information, for many it may place them in danger of retribution from the defendant. </w:t>
      </w:r>
      <w:r w:rsidR="00F23BE4" w:rsidRPr="000B010A">
        <w:rPr>
          <w:rFonts w:ascii="Times New Roman" w:hAnsi="Times New Roman" w:cs="Times New Roman"/>
          <w:sz w:val="24"/>
          <w:szCs w:val="24"/>
        </w:rPr>
        <w:t xml:space="preserve"> </w:t>
      </w:r>
      <w:commentRangeEnd w:id="5"/>
      <w:r w:rsidR="0069112B">
        <w:rPr>
          <w:rStyle w:val="CommentReference"/>
        </w:rPr>
        <w:commentReference w:id="5"/>
      </w:r>
      <w:r w:rsidR="00F23BE4" w:rsidRPr="000B010A">
        <w:rPr>
          <w:rFonts w:ascii="Times New Roman" w:hAnsi="Times New Roman" w:cs="Times New Roman"/>
          <w:sz w:val="24"/>
          <w:szCs w:val="24"/>
        </w:rPr>
        <w:t>It is therefore not recommended that victims be placed in a position where they feel compelled to come forward with this information. If a</w:t>
      </w:r>
      <w:r w:rsidR="00397A1E" w:rsidRPr="000B010A">
        <w:rPr>
          <w:rFonts w:ascii="Times New Roman" w:hAnsi="Times New Roman" w:cs="Times New Roman"/>
          <w:sz w:val="24"/>
          <w:szCs w:val="24"/>
        </w:rPr>
        <w:t xml:space="preserve"> victim chooses to volunteer this information it should be allowed, but </w:t>
      </w:r>
      <w:r w:rsidR="009F3DCF" w:rsidRPr="000B010A">
        <w:rPr>
          <w:rFonts w:ascii="Times New Roman" w:hAnsi="Times New Roman" w:cs="Times New Roman"/>
          <w:sz w:val="24"/>
          <w:szCs w:val="24"/>
        </w:rPr>
        <w:t>for example</w:t>
      </w:r>
      <w:r w:rsidR="009F3DCF">
        <w:rPr>
          <w:rFonts w:ascii="Times New Roman" w:hAnsi="Times New Roman" w:cs="Times New Roman"/>
          <w:sz w:val="24"/>
          <w:szCs w:val="24"/>
        </w:rPr>
        <w:t>,</w:t>
      </w:r>
      <w:r w:rsidR="009F3DCF" w:rsidRPr="000B010A">
        <w:rPr>
          <w:rFonts w:ascii="Times New Roman" w:hAnsi="Times New Roman" w:cs="Times New Roman"/>
          <w:sz w:val="24"/>
          <w:szCs w:val="24"/>
        </w:rPr>
        <w:t xml:space="preserve"> </w:t>
      </w:r>
      <w:r w:rsidR="00397A1E" w:rsidRPr="000B010A">
        <w:rPr>
          <w:rFonts w:ascii="Times New Roman" w:hAnsi="Times New Roman" w:cs="Times New Roman"/>
          <w:sz w:val="24"/>
          <w:szCs w:val="24"/>
        </w:rPr>
        <w:t>victims should not be questioned in open court, in the presence of the defendant, if they know of guns defendant possesses.</w:t>
      </w:r>
    </w:p>
    <w:p w14:paraId="1BEBFE7D" w14:textId="31890E43"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 xml:space="preserve">The defendant is presumably the most accurate source of information about guns possessed. </w:t>
      </w:r>
      <w:r w:rsidR="00422D05" w:rsidRPr="000B010A">
        <w:rPr>
          <w:rFonts w:ascii="Times New Roman" w:hAnsi="Times New Roman" w:cs="Times New Roman"/>
          <w:sz w:val="24"/>
          <w:szCs w:val="24"/>
        </w:rPr>
        <w:t xml:space="preserve">This protocol places the burden on the defendant. </w:t>
      </w:r>
      <w:r w:rsidRPr="000B010A">
        <w:rPr>
          <w:rFonts w:ascii="Times New Roman" w:hAnsi="Times New Roman" w:cs="Times New Roman"/>
          <w:sz w:val="24"/>
          <w:szCs w:val="24"/>
        </w:rPr>
        <w:t xml:space="preserve">The defendant is ultimately the person who faces criminal prosecution if </w:t>
      </w:r>
      <w:r w:rsidR="00A948A0" w:rsidRPr="000B010A">
        <w:rPr>
          <w:rFonts w:ascii="Times New Roman" w:hAnsi="Times New Roman" w:cs="Times New Roman"/>
          <w:sz w:val="24"/>
          <w:szCs w:val="24"/>
        </w:rPr>
        <w:t>firearms are not relinquished</w:t>
      </w:r>
      <w:r w:rsidRPr="000B010A">
        <w:rPr>
          <w:rFonts w:ascii="Times New Roman" w:hAnsi="Times New Roman" w:cs="Times New Roman"/>
          <w:sz w:val="24"/>
          <w:szCs w:val="24"/>
        </w:rPr>
        <w:t xml:space="preserve">. The problem is that the defendant may implicate himself in an ongoing offense by cooperating with the inquiry. Defendant is placed in a position where either course of action may subject him to criminal prosecution.  </w:t>
      </w:r>
    </w:p>
    <w:p w14:paraId="478ECA77" w14:textId="46B63F19"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 xml:space="preserve">One solution to this dilemma is to compel the defendant to disclose information about all guns openly and completely. Because the response is compelled, it is an involuntary statement and cannot be used against the defendant. In some jurisdictions “use immunity” is incorporated into the relinquishment protocol. Whether formally tendered or not, immunity should be understood to be a component of the process.  In other words, because the court compels the response, it is not a voluntary statement.  However, judges are not a part of the prosecution team.  The court would only compel such a statement </w:t>
      </w:r>
      <w:r w:rsidRPr="000B010A">
        <w:rPr>
          <w:rFonts w:ascii="Times New Roman" w:hAnsi="Times New Roman" w:cs="Times New Roman"/>
          <w:sz w:val="24"/>
          <w:szCs w:val="24"/>
        </w:rPr>
        <w:lastRenderedPageBreak/>
        <w:t>with the understanding that by doing so, the statement is rendered inadmissible for prosecution purposes.  Provided the defendant answers truthfully and completely, there is no risk of exposure to criminal prosecution.</w:t>
      </w:r>
    </w:p>
    <w:p w14:paraId="4BFA14E4" w14:textId="650C41F7"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The defendant who is in possession of firearms at the time he becomes ineligible to possess them is thus released from the bind of not knowing how to proceed.  Th</w:t>
      </w:r>
      <w:r w:rsidR="001E7670" w:rsidRPr="000B010A">
        <w:rPr>
          <w:rFonts w:ascii="Times New Roman" w:hAnsi="Times New Roman" w:cs="Times New Roman"/>
          <w:sz w:val="24"/>
          <w:szCs w:val="24"/>
        </w:rPr>
        <w:t>is</w:t>
      </w:r>
      <w:r w:rsidRPr="000B010A">
        <w:rPr>
          <w:rFonts w:ascii="Times New Roman" w:hAnsi="Times New Roman" w:cs="Times New Roman"/>
          <w:sz w:val="24"/>
          <w:szCs w:val="24"/>
        </w:rPr>
        <w:t xml:space="preserve"> is one legal course which avoids this quandary.  It is understood that this process may allow those defendants who on previous occasions ignored the obligation to relinquish firearms when ordered to do so may escape criminal prosecution for past lapses in judgment.  The broader objective of removing guns at this point is served, however.  This process also places the burden of complying with the order squarely on the defendant, where it most properly rests.</w:t>
      </w:r>
      <w:r w:rsidRPr="000B010A">
        <w:rPr>
          <w:rFonts w:ascii="Times New Roman" w:hAnsi="Times New Roman" w:cs="Times New Roman"/>
          <w:sz w:val="24"/>
          <w:szCs w:val="24"/>
        </w:rPr>
        <w:tab/>
      </w:r>
    </w:p>
    <w:p w14:paraId="54004A9D" w14:textId="4580D1D9" w:rsidR="00397A1E" w:rsidRPr="000B010A" w:rsidRDefault="00254B58" w:rsidP="00397A1E">
      <w:pPr>
        <w:pStyle w:val="ListParagraph"/>
        <w:numPr>
          <w:ilvl w:val="0"/>
          <w:numId w:val="12"/>
        </w:numPr>
        <w:rPr>
          <w:rFonts w:ascii="Times New Roman" w:eastAsia="Times New Roman" w:hAnsi="Times New Roman" w:cs="Times New Roman"/>
          <w:sz w:val="24"/>
          <w:szCs w:val="24"/>
          <w:u w:val="single"/>
          <w:bdr w:val="none" w:sz="0" w:space="0" w:color="auto" w:frame="1"/>
        </w:rPr>
      </w:pPr>
      <w:r w:rsidRPr="000B010A">
        <w:rPr>
          <w:rFonts w:ascii="Times New Roman" w:eastAsia="Times New Roman" w:hAnsi="Times New Roman" w:cs="Times New Roman"/>
          <w:sz w:val="24"/>
          <w:szCs w:val="24"/>
          <w:u w:val="single"/>
          <w:bdr w:val="none" w:sz="0" w:space="0" w:color="auto" w:frame="1"/>
        </w:rPr>
        <w:t>H</w:t>
      </w:r>
      <w:r w:rsidRPr="000B010A">
        <w:rPr>
          <w:rFonts w:ascii="Times New Roman" w:hAnsi="Times New Roman" w:cs="Times New Roman"/>
          <w:sz w:val="24"/>
          <w:szCs w:val="24"/>
          <w:u w:val="single"/>
        </w:rPr>
        <w:t>as the court specifically ordered surrender of those guns?</w:t>
      </w:r>
      <w:r w:rsidRPr="000B010A">
        <w:rPr>
          <w:rFonts w:ascii="Times New Roman" w:eastAsia="Times New Roman" w:hAnsi="Times New Roman" w:cs="Times New Roman"/>
          <w:sz w:val="24"/>
          <w:szCs w:val="24"/>
          <w:u w:val="single"/>
          <w:bdr w:val="none" w:sz="0" w:space="0" w:color="auto" w:frame="1"/>
        </w:rPr>
        <w:t xml:space="preserve"> </w:t>
      </w:r>
    </w:p>
    <w:p w14:paraId="2A3B566F" w14:textId="5B946F67"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 xml:space="preserve">The next step in the protocol follows naturally from the first two steps.  Having determined that the defendant is ineligible to possess firearms and having obtained information about </w:t>
      </w:r>
      <w:r w:rsidR="00171996" w:rsidRPr="000B010A">
        <w:rPr>
          <w:rFonts w:ascii="Times New Roman" w:hAnsi="Times New Roman" w:cs="Times New Roman"/>
          <w:sz w:val="24"/>
          <w:szCs w:val="24"/>
        </w:rPr>
        <w:t>which guns</w:t>
      </w:r>
      <w:r w:rsidRPr="000B010A">
        <w:rPr>
          <w:rFonts w:ascii="Times New Roman" w:hAnsi="Times New Roman" w:cs="Times New Roman"/>
          <w:sz w:val="24"/>
          <w:szCs w:val="24"/>
        </w:rPr>
        <w:t xml:space="preserve"> defendant has access to, the court is in a position to enter an order to relinquish those guns.  The order should specifically order the defendant to relinquish those specific guns at a specific time and place and in a manner that has been </w:t>
      </w:r>
      <w:r w:rsidR="009D7529" w:rsidRPr="000B010A">
        <w:rPr>
          <w:rFonts w:ascii="Times New Roman" w:hAnsi="Times New Roman" w:cs="Times New Roman"/>
          <w:sz w:val="24"/>
          <w:szCs w:val="24"/>
        </w:rPr>
        <w:t>predetermined</w:t>
      </w:r>
      <w:r w:rsidRPr="000B010A">
        <w:rPr>
          <w:rFonts w:ascii="Times New Roman" w:hAnsi="Times New Roman" w:cs="Times New Roman"/>
          <w:sz w:val="24"/>
          <w:szCs w:val="24"/>
        </w:rPr>
        <w:t xml:space="preserve"> </w:t>
      </w:r>
      <w:r w:rsidR="009D7529" w:rsidRPr="000B010A">
        <w:rPr>
          <w:rFonts w:ascii="Times New Roman" w:hAnsi="Times New Roman" w:cs="Times New Roman"/>
          <w:sz w:val="24"/>
          <w:szCs w:val="24"/>
        </w:rPr>
        <w:t>as a part of the relinquishment protocol.</w:t>
      </w:r>
    </w:p>
    <w:p w14:paraId="416F9B4B" w14:textId="6344F6E4"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The specifics as to this part of the order will vary from jurisdiction to jurisdiction. It is vital however that these details be spelled out as specifically as possible, in order to leave no ambiguity as to the defendant’s obligation under the order.  A warning about the consequences for failure to comply</w:t>
      </w:r>
      <w:r w:rsidR="00323D2F">
        <w:rPr>
          <w:rFonts w:ascii="Times New Roman" w:hAnsi="Times New Roman" w:cs="Times New Roman"/>
          <w:sz w:val="24"/>
          <w:szCs w:val="24"/>
        </w:rPr>
        <w:t xml:space="preserve"> (i.e.,</w:t>
      </w:r>
      <w:r w:rsidRPr="000B010A">
        <w:rPr>
          <w:rFonts w:ascii="Times New Roman" w:hAnsi="Times New Roman" w:cs="Times New Roman"/>
          <w:sz w:val="24"/>
          <w:szCs w:val="24"/>
        </w:rPr>
        <w:t xml:space="preserve"> </w:t>
      </w:r>
      <w:r w:rsidR="00323D2F">
        <w:rPr>
          <w:rFonts w:ascii="Times New Roman" w:hAnsi="Times New Roman" w:cs="Times New Roman"/>
          <w:sz w:val="24"/>
          <w:szCs w:val="24"/>
        </w:rPr>
        <w:t xml:space="preserve">sanctions, contempt action, criminal prosecution) </w:t>
      </w:r>
      <w:r w:rsidRPr="000B010A">
        <w:rPr>
          <w:rFonts w:ascii="Times New Roman" w:hAnsi="Times New Roman" w:cs="Times New Roman"/>
          <w:sz w:val="24"/>
          <w:szCs w:val="24"/>
        </w:rPr>
        <w:t>should also be included in this order.</w:t>
      </w:r>
    </w:p>
    <w:p w14:paraId="6247DCDC" w14:textId="2EA4E6E3" w:rsidR="00254B58" w:rsidRPr="000B010A" w:rsidRDefault="00254B58" w:rsidP="00254B58">
      <w:pPr>
        <w:pStyle w:val="ListParagraph"/>
        <w:numPr>
          <w:ilvl w:val="0"/>
          <w:numId w:val="12"/>
        </w:numPr>
        <w:rPr>
          <w:rFonts w:ascii="Times New Roman" w:hAnsi="Times New Roman" w:cs="Times New Roman"/>
          <w:sz w:val="24"/>
          <w:szCs w:val="24"/>
          <w:u w:val="single"/>
        </w:rPr>
      </w:pPr>
      <w:r w:rsidRPr="000B010A">
        <w:rPr>
          <w:rFonts w:ascii="Times New Roman" w:eastAsia="Times New Roman" w:hAnsi="Times New Roman" w:cs="Times New Roman"/>
          <w:sz w:val="24"/>
          <w:szCs w:val="24"/>
          <w:u w:val="single"/>
          <w:bdr w:val="none" w:sz="0" w:space="0" w:color="auto" w:frame="1"/>
        </w:rPr>
        <w:t>I</w:t>
      </w:r>
      <w:r w:rsidRPr="000B010A">
        <w:rPr>
          <w:rFonts w:ascii="Times New Roman" w:hAnsi="Times New Roman" w:cs="Times New Roman"/>
          <w:sz w:val="24"/>
          <w:szCs w:val="24"/>
          <w:u w:val="single"/>
        </w:rPr>
        <w:t>s there a means of ensuring compliance?</w:t>
      </w:r>
    </w:p>
    <w:p w14:paraId="71A56436" w14:textId="75A55201"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The court should then schedule a compliance review hearing before concluding this hearing.  Defendant is ordered to appear at the compliance hearing and show cause why the relinquishment order has not been followed.   It is advisable to provide a mechanism whereby the defendant can establish proof of relinquishment prior to the hearing, in which case the hearing may be cancelled.</w:t>
      </w:r>
    </w:p>
    <w:p w14:paraId="71024EE5" w14:textId="1A9C1927" w:rsidR="00397A1E" w:rsidRPr="000B010A" w:rsidRDefault="00397A1E" w:rsidP="00397A1E">
      <w:pPr>
        <w:rPr>
          <w:rFonts w:ascii="Times New Roman" w:hAnsi="Times New Roman" w:cs="Times New Roman"/>
          <w:sz w:val="24"/>
          <w:szCs w:val="24"/>
        </w:rPr>
      </w:pPr>
      <w:r w:rsidRPr="000B010A">
        <w:rPr>
          <w:rFonts w:ascii="Times New Roman" w:hAnsi="Times New Roman" w:cs="Times New Roman"/>
          <w:sz w:val="24"/>
          <w:szCs w:val="24"/>
        </w:rPr>
        <w:t>This procedure results in an optimal method of ensuring that the defendant has complied and relinquished those firearms as ordered without the necessity of investigation to establish compliance. The burden of proof as to compliance is placed on the defendant</w:t>
      </w:r>
      <w:r w:rsidR="006A6436">
        <w:rPr>
          <w:rFonts w:ascii="Times New Roman" w:hAnsi="Times New Roman" w:cs="Times New Roman"/>
          <w:sz w:val="24"/>
          <w:szCs w:val="24"/>
        </w:rPr>
        <w:t xml:space="preserve">. </w:t>
      </w:r>
      <w:r w:rsidRPr="000B010A">
        <w:rPr>
          <w:rFonts w:ascii="Times New Roman" w:hAnsi="Times New Roman" w:cs="Times New Roman"/>
          <w:sz w:val="24"/>
          <w:szCs w:val="24"/>
        </w:rPr>
        <w:t>The defendant is</w:t>
      </w:r>
      <w:r w:rsidR="006A6436">
        <w:rPr>
          <w:rFonts w:ascii="Times New Roman" w:hAnsi="Times New Roman" w:cs="Times New Roman"/>
          <w:sz w:val="24"/>
          <w:szCs w:val="24"/>
        </w:rPr>
        <w:t>,</w:t>
      </w:r>
      <w:r w:rsidRPr="000B010A">
        <w:rPr>
          <w:rFonts w:ascii="Times New Roman" w:hAnsi="Times New Roman" w:cs="Times New Roman"/>
          <w:sz w:val="24"/>
          <w:szCs w:val="24"/>
        </w:rPr>
        <w:t xml:space="preserve"> after all</w:t>
      </w:r>
      <w:r w:rsidR="006A6436">
        <w:rPr>
          <w:rFonts w:ascii="Times New Roman" w:hAnsi="Times New Roman" w:cs="Times New Roman"/>
          <w:sz w:val="24"/>
          <w:szCs w:val="24"/>
        </w:rPr>
        <w:t xml:space="preserve">, </w:t>
      </w:r>
      <w:r w:rsidRPr="000B010A">
        <w:rPr>
          <w:rFonts w:ascii="Times New Roman" w:hAnsi="Times New Roman" w:cs="Times New Roman"/>
          <w:sz w:val="24"/>
          <w:szCs w:val="24"/>
        </w:rPr>
        <w:t xml:space="preserve">the individual who faces criminal consequences for failure to follow through. Neither the court nor law enforcement is burdened with monitoring the defendant’s compliance. When the time and date for the compliance hearing comes, the defendant may appear and establish cause for failure to comply. Absent this, the defendant is in non-compliance and sanctions </w:t>
      </w:r>
      <w:r w:rsidR="006E0E67">
        <w:rPr>
          <w:rFonts w:ascii="Times New Roman" w:hAnsi="Times New Roman" w:cs="Times New Roman"/>
          <w:sz w:val="24"/>
          <w:szCs w:val="24"/>
        </w:rPr>
        <w:t xml:space="preserve">(i.e., contempt action, criminal prosecution, etc.) </w:t>
      </w:r>
      <w:r w:rsidRPr="000B010A">
        <w:rPr>
          <w:rFonts w:ascii="Times New Roman" w:hAnsi="Times New Roman" w:cs="Times New Roman"/>
          <w:sz w:val="24"/>
          <w:szCs w:val="24"/>
        </w:rPr>
        <w:t>may follow.</w:t>
      </w:r>
    </w:p>
    <w:p w14:paraId="6853C43A" w14:textId="50503BA7" w:rsidR="00397A1E" w:rsidRPr="000B010A" w:rsidRDefault="00397A1E" w:rsidP="003B0A1E">
      <w:pPr>
        <w:rPr>
          <w:rFonts w:ascii="Times New Roman" w:hAnsi="Times New Roman" w:cs="Times New Roman"/>
          <w:sz w:val="24"/>
          <w:szCs w:val="24"/>
        </w:rPr>
      </w:pPr>
      <w:r w:rsidRPr="000B010A">
        <w:rPr>
          <w:rFonts w:ascii="Times New Roman" w:hAnsi="Times New Roman" w:cs="Times New Roman"/>
          <w:sz w:val="24"/>
          <w:szCs w:val="24"/>
        </w:rPr>
        <w:t xml:space="preserve">By following the protocol set forth above, the court can be satisfied that the </w:t>
      </w:r>
      <w:r w:rsidR="00020A07">
        <w:rPr>
          <w:rFonts w:ascii="Times New Roman" w:hAnsi="Times New Roman" w:cs="Times New Roman"/>
          <w:sz w:val="24"/>
          <w:szCs w:val="24"/>
        </w:rPr>
        <w:t>f</w:t>
      </w:r>
      <w:r w:rsidR="00020A07" w:rsidRPr="000B010A">
        <w:rPr>
          <w:rFonts w:ascii="Times New Roman" w:hAnsi="Times New Roman" w:cs="Times New Roman"/>
          <w:sz w:val="24"/>
          <w:szCs w:val="24"/>
        </w:rPr>
        <w:t xml:space="preserve">our </w:t>
      </w:r>
      <w:r w:rsidR="00020A07">
        <w:rPr>
          <w:rFonts w:ascii="Times New Roman" w:hAnsi="Times New Roman" w:cs="Times New Roman"/>
          <w:sz w:val="24"/>
          <w:szCs w:val="24"/>
        </w:rPr>
        <w:t>q</w:t>
      </w:r>
      <w:r w:rsidR="00020A07" w:rsidRPr="000B010A">
        <w:rPr>
          <w:rFonts w:ascii="Times New Roman" w:hAnsi="Times New Roman" w:cs="Times New Roman"/>
          <w:sz w:val="24"/>
          <w:szCs w:val="24"/>
        </w:rPr>
        <w:t xml:space="preserve">uestions </w:t>
      </w:r>
      <w:r w:rsidRPr="000B010A">
        <w:rPr>
          <w:rFonts w:ascii="Times New Roman" w:hAnsi="Times New Roman" w:cs="Times New Roman"/>
          <w:sz w:val="24"/>
          <w:szCs w:val="24"/>
        </w:rPr>
        <w:t xml:space="preserve">are answered.  </w:t>
      </w:r>
      <w:r w:rsidR="0078339A" w:rsidRPr="000B010A">
        <w:rPr>
          <w:rFonts w:ascii="Times New Roman" w:hAnsi="Times New Roman" w:cs="Times New Roman"/>
          <w:sz w:val="24"/>
          <w:szCs w:val="24"/>
        </w:rPr>
        <w:t xml:space="preserve">This may be summarized in </w:t>
      </w:r>
      <w:r w:rsidRPr="000B010A">
        <w:rPr>
          <w:rFonts w:ascii="Times New Roman" w:hAnsi="Times New Roman" w:cs="Times New Roman"/>
          <w:sz w:val="24"/>
          <w:szCs w:val="24"/>
        </w:rPr>
        <w:t xml:space="preserve">one sentence: </w:t>
      </w:r>
      <w:commentRangeStart w:id="6"/>
      <w:r w:rsidRPr="000B010A">
        <w:rPr>
          <w:rFonts w:ascii="Times New Roman" w:hAnsi="Times New Roman" w:cs="Times New Roman"/>
          <w:sz w:val="24"/>
          <w:szCs w:val="24"/>
        </w:rPr>
        <w:t>“The defendant has provided proof to the court’s satisfaction that he/she has dispossessed himself/herself of all firearms previously identified, having been determined to be ineligible to possess them.”</w:t>
      </w:r>
      <w:commentRangeEnd w:id="6"/>
      <w:r w:rsidR="0069112B">
        <w:rPr>
          <w:rStyle w:val="CommentReference"/>
        </w:rPr>
        <w:commentReference w:id="6"/>
      </w:r>
    </w:p>
    <w:p w14:paraId="13D165F7" w14:textId="239847BD" w:rsidR="00452995" w:rsidRPr="00E10125" w:rsidRDefault="00452995" w:rsidP="00994C7F">
      <w:pPr>
        <w:pStyle w:val="ListParagraph"/>
        <w:numPr>
          <w:ilvl w:val="0"/>
          <w:numId w:val="1"/>
        </w:numPr>
        <w:spacing w:after="0" w:line="240" w:lineRule="auto"/>
        <w:rPr>
          <w:rFonts w:ascii="Times New Roman" w:hAnsi="Times New Roman" w:cs="Times New Roman"/>
          <w:b/>
          <w:bCs/>
          <w:smallCaps/>
          <w:color w:val="C45911" w:themeColor="accent2" w:themeShade="BF"/>
          <w:sz w:val="24"/>
          <w:szCs w:val="24"/>
        </w:rPr>
      </w:pPr>
      <w:r w:rsidRPr="00E10125">
        <w:rPr>
          <w:rFonts w:ascii="Times New Roman" w:hAnsi="Times New Roman" w:cs="Times New Roman"/>
          <w:b/>
          <w:bCs/>
          <w:smallCaps/>
          <w:color w:val="C45911" w:themeColor="accent2" w:themeShade="BF"/>
          <w:sz w:val="28"/>
          <w:szCs w:val="28"/>
        </w:rPr>
        <w:lastRenderedPageBreak/>
        <w:t xml:space="preserve">The </w:t>
      </w:r>
      <w:r w:rsidR="003C3FCC" w:rsidRPr="00E10125">
        <w:rPr>
          <w:rFonts w:ascii="Times New Roman" w:hAnsi="Times New Roman" w:cs="Times New Roman"/>
          <w:b/>
          <w:bCs/>
          <w:smallCaps/>
          <w:color w:val="C45911" w:themeColor="accent2" w:themeShade="BF"/>
          <w:sz w:val="28"/>
          <w:szCs w:val="28"/>
        </w:rPr>
        <w:t xml:space="preserve">Demonstrated </w:t>
      </w:r>
      <w:r w:rsidRPr="00E10125">
        <w:rPr>
          <w:rFonts w:ascii="Times New Roman" w:hAnsi="Times New Roman" w:cs="Times New Roman"/>
          <w:b/>
          <w:bCs/>
          <w:smallCaps/>
          <w:color w:val="C45911" w:themeColor="accent2" w:themeShade="BF"/>
          <w:sz w:val="28"/>
          <w:szCs w:val="28"/>
        </w:rPr>
        <w:t>Effectiveness of Relinquishment</w:t>
      </w:r>
      <w:r w:rsidR="004F579C" w:rsidRPr="00E10125">
        <w:rPr>
          <w:rFonts w:ascii="Times New Roman" w:hAnsi="Times New Roman" w:cs="Times New Roman"/>
          <w:b/>
          <w:bCs/>
          <w:smallCaps/>
          <w:color w:val="C45911" w:themeColor="accent2" w:themeShade="BF"/>
          <w:sz w:val="24"/>
          <w:szCs w:val="24"/>
        </w:rPr>
        <w:br/>
      </w:r>
    </w:p>
    <w:p w14:paraId="7AEEA6CC" w14:textId="650972E8" w:rsidR="003B0A1E" w:rsidRPr="000B010A" w:rsidRDefault="00452995" w:rsidP="003B0A1E">
      <w:pPr>
        <w:jc w:val="both"/>
        <w:rPr>
          <w:rFonts w:ascii="Times New Roman" w:hAnsi="Times New Roman" w:cs="Times New Roman"/>
          <w:sz w:val="24"/>
          <w:szCs w:val="24"/>
        </w:rPr>
      </w:pPr>
      <w:r w:rsidRPr="000B010A">
        <w:rPr>
          <w:rFonts w:ascii="Times New Roman" w:hAnsi="Times New Roman" w:cs="Times New Roman"/>
          <w:sz w:val="24"/>
          <w:szCs w:val="24"/>
        </w:rPr>
        <w:t xml:space="preserve">Compared to states without a state-level domestic violence restraining order firearm restriction law, states with </w:t>
      </w:r>
      <w:r w:rsidR="002960AE">
        <w:rPr>
          <w:rFonts w:ascii="Times New Roman" w:hAnsi="Times New Roman" w:cs="Times New Roman"/>
          <w:sz w:val="24"/>
          <w:szCs w:val="24"/>
        </w:rPr>
        <w:t>such a</w:t>
      </w:r>
      <w:r w:rsidRPr="000B010A">
        <w:rPr>
          <w:rFonts w:ascii="Times New Roman" w:hAnsi="Times New Roman" w:cs="Times New Roman"/>
          <w:sz w:val="24"/>
          <w:szCs w:val="24"/>
        </w:rPr>
        <w:t xml:space="preserve"> law and a relinquishment provision experienced an associated 12% decrease in intimate partner homicide and a 16% decrease in firearm intimate partner homicide.</w:t>
      </w:r>
      <w:r w:rsidRPr="000B010A">
        <w:rPr>
          <w:rStyle w:val="FootnoteReference"/>
          <w:rFonts w:ascii="Times New Roman" w:hAnsi="Times New Roman" w:cs="Times New Roman"/>
          <w:sz w:val="24"/>
          <w:szCs w:val="24"/>
        </w:rPr>
        <w:footnoteReference w:id="6"/>
      </w:r>
      <w:r w:rsidRPr="000B010A">
        <w:rPr>
          <w:rFonts w:ascii="Times New Roman" w:hAnsi="Times New Roman" w:cs="Times New Roman"/>
          <w:sz w:val="24"/>
          <w:szCs w:val="24"/>
        </w:rPr>
        <w:t xml:space="preserve"> States with </w:t>
      </w:r>
      <w:r w:rsidR="002960AE">
        <w:rPr>
          <w:rFonts w:ascii="Times New Roman" w:hAnsi="Times New Roman" w:cs="Times New Roman"/>
          <w:sz w:val="24"/>
          <w:szCs w:val="24"/>
        </w:rPr>
        <w:t>such a</w:t>
      </w:r>
      <w:r w:rsidRPr="000B010A">
        <w:rPr>
          <w:rFonts w:ascii="Times New Roman" w:hAnsi="Times New Roman" w:cs="Times New Roman"/>
          <w:sz w:val="24"/>
          <w:szCs w:val="24"/>
        </w:rPr>
        <w:t xml:space="preserve"> law but without a relinquishment provision did not experience a statistically significant difference between their intimate partner homicide rates and the rates of states without the restraining order firearm restriction.</w:t>
      </w:r>
      <w:r w:rsidR="00E94432" w:rsidRPr="000B010A">
        <w:rPr>
          <w:rStyle w:val="FootnoteReference"/>
          <w:rFonts w:ascii="Times New Roman" w:hAnsi="Times New Roman" w:cs="Times New Roman"/>
          <w:sz w:val="24"/>
          <w:szCs w:val="24"/>
        </w:rPr>
        <w:footnoteReference w:id="7"/>
      </w:r>
      <w:r w:rsidRPr="000B010A">
        <w:rPr>
          <w:rFonts w:ascii="Times New Roman" w:hAnsi="Times New Roman" w:cs="Times New Roman"/>
          <w:sz w:val="24"/>
          <w:szCs w:val="24"/>
        </w:rPr>
        <w:t xml:space="preserve"> </w:t>
      </w:r>
    </w:p>
    <w:p w14:paraId="7DA4E414" w14:textId="335C672B" w:rsidR="003B0A1E" w:rsidRPr="000B010A" w:rsidRDefault="003B0A1E" w:rsidP="003B0A1E">
      <w:pPr>
        <w:jc w:val="both"/>
        <w:rPr>
          <w:rFonts w:ascii="Times New Roman" w:hAnsi="Times New Roman" w:cs="Times New Roman"/>
          <w:sz w:val="24"/>
          <w:szCs w:val="24"/>
        </w:rPr>
      </w:pPr>
      <w:r w:rsidRPr="000B010A">
        <w:rPr>
          <w:rFonts w:ascii="Times New Roman" w:hAnsi="Times New Roman" w:cs="Times New Roman"/>
          <w:sz w:val="24"/>
          <w:szCs w:val="24"/>
        </w:rPr>
        <w:t xml:space="preserve">To be effective, firearm relinquishment must be sustainable. Routine assessment for both internal and external safeguards must be built in. Once a policy or practice is newly established, it runs the risk of </w:t>
      </w:r>
      <w:r w:rsidRPr="00325C1C">
        <w:rPr>
          <w:rFonts w:ascii="Times New Roman" w:hAnsi="Times New Roman" w:cs="Times New Roman"/>
          <w:sz w:val="24"/>
          <w:szCs w:val="24"/>
        </w:rPr>
        <w:t>becoming ineffective</w:t>
      </w:r>
      <w:r w:rsidRPr="000B010A">
        <w:rPr>
          <w:rFonts w:ascii="Times New Roman" w:hAnsi="Times New Roman" w:cs="Times New Roman"/>
          <w:sz w:val="28"/>
          <w:szCs w:val="28"/>
        </w:rPr>
        <w:t xml:space="preserve"> </w:t>
      </w:r>
      <w:r w:rsidRPr="000B010A">
        <w:rPr>
          <w:rFonts w:ascii="Times New Roman" w:hAnsi="Times New Roman" w:cs="Times New Roman"/>
          <w:sz w:val="24"/>
          <w:szCs w:val="24"/>
        </w:rPr>
        <w:t>through inattention over time. A means of ensuring that the Model Protocol is followed as intended must be included in the planning stage of implementation.</w:t>
      </w:r>
    </w:p>
    <w:p w14:paraId="39CECE39" w14:textId="77777777" w:rsidR="003B0A1E" w:rsidRPr="000B010A" w:rsidRDefault="003B0A1E" w:rsidP="003B0A1E">
      <w:pPr>
        <w:jc w:val="center"/>
        <w:rPr>
          <w:rFonts w:ascii="Times New Roman" w:hAnsi="Times New Roman" w:cs="Times New Roman"/>
          <w:b/>
          <w:bCs/>
          <w:smallCaps/>
          <w:sz w:val="28"/>
          <w:szCs w:val="28"/>
        </w:rPr>
      </w:pPr>
      <w:r w:rsidRPr="000B010A">
        <w:rPr>
          <w:rFonts w:ascii="Times New Roman" w:hAnsi="Times New Roman" w:cs="Times New Roman"/>
          <w:b/>
          <w:bCs/>
          <w:smallCaps/>
          <w:sz w:val="28"/>
          <w:szCs w:val="28"/>
        </w:rPr>
        <w:t>Internal</w:t>
      </w:r>
    </w:p>
    <w:p w14:paraId="4DCA3D65" w14:textId="77777777" w:rsidR="003B0A1E" w:rsidRPr="000B010A" w:rsidRDefault="003B0A1E" w:rsidP="003B0A1E">
      <w:pPr>
        <w:jc w:val="both"/>
        <w:rPr>
          <w:rFonts w:ascii="Times New Roman" w:hAnsi="Times New Roman" w:cs="Times New Roman"/>
          <w:sz w:val="24"/>
          <w:szCs w:val="24"/>
        </w:rPr>
      </w:pPr>
      <w:r w:rsidRPr="000B010A">
        <w:rPr>
          <w:rFonts w:ascii="Times New Roman" w:hAnsi="Times New Roman" w:cs="Times New Roman"/>
          <w:sz w:val="24"/>
          <w:szCs w:val="24"/>
        </w:rPr>
        <w:t>Recordkeeping is an integral component of the Model Protocol. To function well, orders to relinquish and findings of compliance with these orders must be documented. Over time, trends in compliance should describe a recognizable pattern. This is important as an objective means of determining that the system is functioning properly and whether changes to the process should be made.</w:t>
      </w:r>
    </w:p>
    <w:p w14:paraId="62A2199D" w14:textId="77777777" w:rsidR="003B0A1E" w:rsidRPr="000B010A" w:rsidRDefault="003B0A1E" w:rsidP="003B0A1E">
      <w:pPr>
        <w:jc w:val="center"/>
        <w:rPr>
          <w:rFonts w:ascii="Times New Roman" w:hAnsi="Times New Roman" w:cs="Times New Roman"/>
          <w:b/>
          <w:bCs/>
          <w:smallCaps/>
          <w:sz w:val="24"/>
          <w:szCs w:val="24"/>
        </w:rPr>
      </w:pPr>
      <w:r w:rsidRPr="000B010A">
        <w:rPr>
          <w:rFonts w:ascii="Times New Roman" w:hAnsi="Times New Roman" w:cs="Times New Roman"/>
          <w:b/>
          <w:bCs/>
          <w:smallCaps/>
          <w:sz w:val="24"/>
          <w:szCs w:val="24"/>
        </w:rPr>
        <w:t>External</w:t>
      </w:r>
    </w:p>
    <w:p w14:paraId="094E0C50" w14:textId="3081D992" w:rsidR="003B0A1E" w:rsidRPr="000B010A" w:rsidRDefault="003B0A1E" w:rsidP="00994C7F">
      <w:pPr>
        <w:jc w:val="both"/>
        <w:rPr>
          <w:rFonts w:ascii="Times New Roman" w:hAnsi="Times New Roman" w:cs="Times New Roman"/>
          <w:sz w:val="24"/>
          <w:szCs w:val="24"/>
        </w:rPr>
      </w:pPr>
      <w:r w:rsidRPr="000B010A">
        <w:rPr>
          <w:rFonts w:ascii="Times New Roman" w:hAnsi="Times New Roman" w:cs="Times New Roman"/>
          <w:sz w:val="24"/>
          <w:szCs w:val="24"/>
        </w:rPr>
        <w:t>There are few communities which have implemented a systematic protocol for firearms relinquishment.  As more communities implement the Model Protocol it is anticipated that statistical analyses could follow. We recommend external assessments be included as a component of the Model Protocol. Assessments may or may not be tied to funding for these projects. It is worth repeating that firearm relinquishment is still a new field. A lot will be learned from the gathering of national data.</w:t>
      </w:r>
    </w:p>
    <w:p w14:paraId="68F305A5" w14:textId="52D441CA" w:rsidR="00947CDE" w:rsidRPr="00E10125" w:rsidRDefault="004B186D" w:rsidP="00994C7F">
      <w:pPr>
        <w:pStyle w:val="ListParagraph"/>
        <w:numPr>
          <w:ilvl w:val="0"/>
          <w:numId w:val="1"/>
        </w:numPr>
        <w:spacing w:after="120" w:line="240" w:lineRule="auto"/>
        <w:rPr>
          <w:rFonts w:ascii="Times New Roman" w:hAnsi="Times New Roman" w:cs="Times New Roman"/>
          <w:b/>
          <w:bCs/>
          <w:smallCaps/>
          <w:color w:val="C45911" w:themeColor="accent2" w:themeShade="BF"/>
          <w:sz w:val="28"/>
          <w:szCs w:val="28"/>
        </w:rPr>
      </w:pPr>
      <w:r w:rsidRPr="00E10125">
        <w:rPr>
          <w:rFonts w:ascii="Times New Roman" w:hAnsi="Times New Roman" w:cs="Times New Roman"/>
          <w:b/>
          <w:bCs/>
          <w:smallCaps/>
          <w:color w:val="C45911" w:themeColor="accent2" w:themeShade="BF"/>
          <w:sz w:val="28"/>
          <w:szCs w:val="28"/>
        </w:rPr>
        <w:t xml:space="preserve">Addressing </w:t>
      </w:r>
      <w:r w:rsidR="00EC281A">
        <w:rPr>
          <w:rFonts w:ascii="Times New Roman" w:hAnsi="Times New Roman" w:cs="Times New Roman"/>
          <w:b/>
          <w:bCs/>
          <w:smallCaps/>
          <w:color w:val="C45911" w:themeColor="accent2" w:themeShade="BF"/>
          <w:sz w:val="28"/>
          <w:szCs w:val="28"/>
        </w:rPr>
        <w:t>Challenges to Implementation</w:t>
      </w:r>
    </w:p>
    <w:p w14:paraId="5268C712" w14:textId="7CE5322D" w:rsidR="00D9131D" w:rsidRPr="000B010A" w:rsidRDefault="00D9131D" w:rsidP="004B186D">
      <w:pPr>
        <w:jc w:val="both"/>
        <w:rPr>
          <w:rFonts w:ascii="Times New Roman" w:hAnsi="Times New Roman" w:cs="Times New Roman"/>
          <w:sz w:val="24"/>
          <w:szCs w:val="24"/>
        </w:rPr>
      </w:pPr>
      <w:r>
        <w:rPr>
          <w:rFonts w:ascii="Times New Roman" w:hAnsi="Times New Roman" w:cs="Times New Roman"/>
          <w:sz w:val="24"/>
          <w:szCs w:val="24"/>
        </w:rPr>
        <w:t>Many jurisdictions have attempted to implement firearm relinquishment protocols only to find challenge that seem insurmountable.  Some of these are common to almost every jurisdiction.  All can be addressed within the parameters of local and state law.  The most common examples are discussed below:</w:t>
      </w:r>
    </w:p>
    <w:p w14:paraId="29B3BFF9" w14:textId="0E9897ED" w:rsidR="00947CDE" w:rsidRPr="00051391" w:rsidRDefault="00C77FC2" w:rsidP="00947CDE">
      <w:pPr>
        <w:jc w:val="center"/>
        <w:rPr>
          <w:rFonts w:ascii="Times New Roman" w:hAnsi="Times New Roman" w:cs="Times New Roman"/>
          <w:b/>
          <w:smallCaps/>
          <w:sz w:val="24"/>
          <w:szCs w:val="24"/>
        </w:rPr>
      </w:pPr>
      <w:r w:rsidRPr="00051391">
        <w:rPr>
          <w:rFonts w:ascii="Times New Roman" w:hAnsi="Times New Roman" w:cs="Times New Roman"/>
          <w:b/>
          <w:smallCaps/>
          <w:sz w:val="24"/>
          <w:szCs w:val="24"/>
        </w:rPr>
        <w:t>Second Amendment</w:t>
      </w:r>
    </w:p>
    <w:p w14:paraId="6F5D0E1F" w14:textId="146F48E7"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 xml:space="preserve">Often </w:t>
      </w:r>
      <w:r w:rsidR="00B0665C" w:rsidRPr="000B010A">
        <w:rPr>
          <w:rFonts w:ascii="Times New Roman" w:hAnsi="Times New Roman" w:cs="Times New Roman"/>
          <w:sz w:val="24"/>
          <w:szCs w:val="24"/>
        </w:rPr>
        <w:t xml:space="preserve">presumed </w:t>
      </w:r>
      <w:r w:rsidRPr="000B010A">
        <w:rPr>
          <w:rFonts w:ascii="Times New Roman" w:hAnsi="Times New Roman" w:cs="Times New Roman"/>
          <w:sz w:val="24"/>
          <w:szCs w:val="24"/>
        </w:rPr>
        <w:t xml:space="preserve">as an impediment to firearm surrender, </w:t>
      </w:r>
      <w:r w:rsidR="008C68D4" w:rsidRPr="000B010A">
        <w:rPr>
          <w:rFonts w:ascii="Times New Roman" w:hAnsi="Times New Roman" w:cs="Times New Roman"/>
          <w:sz w:val="24"/>
          <w:szCs w:val="24"/>
        </w:rPr>
        <w:t xml:space="preserve">in </w:t>
      </w:r>
      <w:r w:rsidR="008C68D4" w:rsidRPr="000B010A">
        <w:rPr>
          <w:rFonts w:ascii="Times New Roman" w:hAnsi="Times New Roman" w:cs="Times New Roman"/>
          <w:i/>
          <w:iCs/>
          <w:sz w:val="24"/>
          <w:szCs w:val="24"/>
        </w:rPr>
        <w:t>District of Columbia v. Heller</w:t>
      </w:r>
      <w:r w:rsidR="008C68D4" w:rsidRPr="000B010A">
        <w:rPr>
          <w:rFonts w:ascii="Times New Roman" w:hAnsi="Times New Roman" w:cs="Times New Roman"/>
          <w:sz w:val="24"/>
          <w:szCs w:val="24"/>
        </w:rPr>
        <w:t>,</w:t>
      </w:r>
      <w:r w:rsidR="008C68D4" w:rsidRPr="000B010A">
        <w:rPr>
          <w:rFonts w:ascii="Times New Roman" w:hAnsi="Times New Roman" w:cs="Times New Roman"/>
          <w:i/>
          <w:iCs/>
          <w:sz w:val="24"/>
          <w:szCs w:val="24"/>
        </w:rPr>
        <w:t xml:space="preserve"> </w:t>
      </w:r>
      <w:r w:rsidRPr="000B010A">
        <w:rPr>
          <w:rFonts w:ascii="Times New Roman" w:hAnsi="Times New Roman" w:cs="Times New Roman"/>
          <w:sz w:val="24"/>
          <w:szCs w:val="24"/>
        </w:rPr>
        <w:t xml:space="preserve">the Supreme Court cited longstanding prohibitions </w:t>
      </w:r>
      <w:r w:rsidR="00B0665C" w:rsidRPr="000B010A">
        <w:rPr>
          <w:rFonts w:ascii="Times New Roman" w:hAnsi="Times New Roman" w:cs="Times New Roman"/>
          <w:sz w:val="24"/>
          <w:szCs w:val="24"/>
        </w:rPr>
        <w:t>on firearms possession</w:t>
      </w:r>
      <w:r w:rsidRPr="000B010A">
        <w:rPr>
          <w:rFonts w:ascii="Times New Roman" w:hAnsi="Times New Roman" w:cs="Times New Roman"/>
          <w:sz w:val="24"/>
          <w:szCs w:val="24"/>
        </w:rPr>
        <w:t xml:space="preserve"> </w:t>
      </w:r>
      <w:r w:rsidR="00B0665C" w:rsidRPr="000B010A">
        <w:rPr>
          <w:rFonts w:ascii="Times New Roman" w:hAnsi="Times New Roman" w:cs="Times New Roman"/>
          <w:sz w:val="24"/>
          <w:szCs w:val="24"/>
        </w:rPr>
        <w:t>by</w:t>
      </w:r>
      <w:r w:rsidRPr="000B010A">
        <w:rPr>
          <w:rFonts w:ascii="Times New Roman" w:hAnsi="Times New Roman" w:cs="Times New Roman"/>
          <w:sz w:val="24"/>
          <w:szCs w:val="24"/>
        </w:rPr>
        <w:t xml:space="preserve"> specific individuals as “presumptively reasonable.”</w:t>
      </w:r>
      <w:r w:rsidR="00B0665C" w:rsidRPr="000B010A">
        <w:rPr>
          <w:rStyle w:val="FootnoteReference"/>
          <w:rFonts w:ascii="Times New Roman" w:hAnsi="Times New Roman" w:cs="Times New Roman"/>
          <w:sz w:val="24"/>
          <w:szCs w:val="24"/>
        </w:rPr>
        <w:footnoteReference w:id="8"/>
      </w:r>
      <w:r w:rsidRPr="000B010A">
        <w:rPr>
          <w:rFonts w:ascii="Times New Roman" w:hAnsi="Times New Roman" w:cs="Times New Roman"/>
          <w:sz w:val="24"/>
          <w:szCs w:val="24"/>
        </w:rPr>
        <w:t xml:space="preserve"> Federal courts have consistently upheld firearm relinquishment protocols followin</w:t>
      </w:r>
      <w:r w:rsidR="008C68D4" w:rsidRPr="000B010A">
        <w:rPr>
          <w:rFonts w:ascii="Times New Roman" w:hAnsi="Times New Roman" w:cs="Times New Roman"/>
          <w:sz w:val="24"/>
          <w:szCs w:val="24"/>
        </w:rPr>
        <w:t xml:space="preserve">g </w:t>
      </w:r>
      <w:r w:rsidR="008C68D4" w:rsidRPr="000B010A">
        <w:rPr>
          <w:rFonts w:ascii="Times New Roman" w:hAnsi="Times New Roman" w:cs="Times New Roman"/>
          <w:i/>
          <w:iCs/>
          <w:sz w:val="24"/>
          <w:szCs w:val="24"/>
        </w:rPr>
        <w:t>Heller</w:t>
      </w:r>
      <w:r w:rsidRPr="000B010A">
        <w:rPr>
          <w:rFonts w:ascii="Times New Roman" w:hAnsi="Times New Roman" w:cs="Times New Roman"/>
          <w:sz w:val="24"/>
          <w:szCs w:val="24"/>
        </w:rPr>
        <w:t xml:space="preserve">. The perception </w:t>
      </w:r>
      <w:r w:rsidR="00461474" w:rsidRPr="000B010A">
        <w:rPr>
          <w:rFonts w:ascii="Times New Roman" w:hAnsi="Times New Roman" w:cs="Times New Roman"/>
          <w:sz w:val="24"/>
          <w:szCs w:val="24"/>
        </w:rPr>
        <w:t xml:space="preserve">that </w:t>
      </w:r>
      <w:r w:rsidR="00461474" w:rsidRPr="000B010A">
        <w:rPr>
          <w:rFonts w:ascii="Times New Roman" w:hAnsi="Times New Roman" w:cs="Times New Roman"/>
          <w:i/>
          <w:iCs/>
          <w:sz w:val="24"/>
          <w:szCs w:val="24"/>
        </w:rPr>
        <w:t>Heller</w:t>
      </w:r>
      <w:r w:rsidR="00461474" w:rsidRPr="000B010A">
        <w:rPr>
          <w:rFonts w:ascii="Times New Roman" w:hAnsi="Times New Roman" w:cs="Times New Roman"/>
          <w:sz w:val="24"/>
          <w:szCs w:val="24"/>
        </w:rPr>
        <w:t xml:space="preserve"> somehow prohibits relinquishment persists and manifests through</w:t>
      </w:r>
      <w:r w:rsidRPr="000B010A">
        <w:rPr>
          <w:rFonts w:ascii="Times New Roman" w:hAnsi="Times New Roman" w:cs="Times New Roman"/>
          <w:sz w:val="24"/>
          <w:szCs w:val="24"/>
        </w:rPr>
        <w:t xml:space="preserve"> passive resistance. Many jurisdictions profess an interest in removing guns from violent </w:t>
      </w:r>
      <w:r w:rsidR="00211209" w:rsidRPr="000B010A">
        <w:rPr>
          <w:rFonts w:ascii="Times New Roman" w:hAnsi="Times New Roman" w:cs="Times New Roman"/>
          <w:sz w:val="24"/>
          <w:szCs w:val="24"/>
        </w:rPr>
        <w:t>individuals but</w:t>
      </w:r>
      <w:r w:rsidRPr="000B010A">
        <w:rPr>
          <w:rFonts w:ascii="Times New Roman" w:hAnsi="Times New Roman" w:cs="Times New Roman"/>
          <w:sz w:val="24"/>
          <w:szCs w:val="24"/>
        </w:rPr>
        <w:t xml:space="preserve"> </w:t>
      </w:r>
      <w:r w:rsidR="000471CE" w:rsidRPr="000B010A">
        <w:rPr>
          <w:rFonts w:ascii="Times New Roman" w:hAnsi="Times New Roman" w:cs="Times New Roman"/>
          <w:sz w:val="24"/>
          <w:szCs w:val="24"/>
        </w:rPr>
        <w:t>hesitate to do so out of concerns over the legality of such action.</w:t>
      </w:r>
    </w:p>
    <w:p w14:paraId="21AB55BD" w14:textId="5242F349" w:rsidR="00947CDE" w:rsidRPr="000B010A" w:rsidRDefault="00947CDE" w:rsidP="00947CDE">
      <w:pPr>
        <w:jc w:val="center"/>
        <w:rPr>
          <w:rFonts w:ascii="Times New Roman" w:hAnsi="Times New Roman" w:cs="Times New Roman"/>
          <w:b/>
          <w:bCs/>
          <w:smallCaps/>
          <w:sz w:val="24"/>
          <w:szCs w:val="24"/>
        </w:rPr>
      </w:pPr>
      <w:r w:rsidRPr="000B010A">
        <w:rPr>
          <w:rFonts w:ascii="Times New Roman" w:hAnsi="Times New Roman" w:cs="Times New Roman"/>
          <w:b/>
          <w:bCs/>
          <w:smallCaps/>
          <w:sz w:val="24"/>
          <w:szCs w:val="24"/>
        </w:rPr>
        <w:lastRenderedPageBreak/>
        <w:t>Fifth Amendment</w:t>
      </w:r>
    </w:p>
    <w:p w14:paraId="450500D6" w14:textId="4C6F971C"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Disclos</w:t>
      </w:r>
      <w:r w:rsidR="00461474" w:rsidRPr="000B010A">
        <w:rPr>
          <w:rFonts w:ascii="Times New Roman" w:hAnsi="Times New Roman" w:cs="Times New Roman"/>
          <w:sz w:val="24"/>
          <w:szCs w:val="24"/>
        </w:rPr>
        <w:t>ing</w:t>
      </w:r>
      <w:r w:rsidRPr="000B010A">
        <w:rPr>
          <w:rFonts w:ascii="Times New Roman" w:hAnsi="Times New Roman" w:cs="Times New Roman"/>
          <w:sz w:val="24"/>
          <w:szCs w:val="24"/>
        </w:rPr>
        <w:t xml:space="preserve"> </w:t>
      </w:r>
      <w:r w:rsidR="00461474" w:rsidRPr="000B010A">
        <w:rPr>
          <w:rFonts w:ascii="Times New Roman" w:hAnsi="Times New Roman" w:cs="Times New Roman"/>
          <w:sz w:val="24"/>
          <w:szCs w:val="24"/>
        </w:rPr>
        <w:t>that a person already prohibited from possessing firearms actually does</w:t>
      </w:r>
      <w:r w:rsidRPr="000B010A">
        <w:rPr>
          <w:rFonts w:ascii="Times New Roman" w:hAnsi="Times New Roman" w:cs="Times New Roman"/>
          <w:sz w:val="24"/>
          <w:szCs w:val="24"/>
        </w:rPr>
        <w:t xml:space="preserve"> </w:t>
      </w:r>
      <w:r w:rsidR="00383014" w:rsidRPr="000B010A">
        <w:rPr>
          <w:rFonts w:ascii="Times New Roman" w:hAnsi="Times New Roman" w:cs="Times New Roman"/>
          <w:sz w:val="24"/>
          <w:szCs w:val="24"/>
        </w:rPr>
        <w:t xml:space="preserve">so may </w:t>
      </w:r>
      <w:r w:rsidRPr="000B010A">
        <w:rPr>
          <w:rFonts w:ascii="Times New Roman" w:hAnsi="Times New Roman" w:cs="Times New Roman"/>
          <w:sz w:val="24"/>
          <w:szCs w:val="24"/>
        </w:rPr>
        <w:t>expose th</w:t>
      </w:r>
      <w:r w:rsidR="00461474" w:rsidRPr="000B010A">
        <w:rPr>
          <w:rFonts w:ascii="Times New Roman" w:hAnsi="Times New Roman" w:cs="Times New Roman"/>
          <w:sz w:val="24"/>
          <w:szCs w:val="24"/>
        </w:rPr>
        <w:t>at</w:t>
      </w:r>
      <w:r w:rsidRPr="000B010A">
        <w:rPr>
          <w:rFonts w:ascii="Times New Roman" w:hAnsi="Times New Roman" w:cs="Times New Roman"/>
          <w:sz w:val="24"/>
          <w:szCs w:val="24"/>
        </w:rPr>
        <w:t xml:space="preserve"> </w:t>
      </w:r>
      <w:r w:rsidR="00461474" w:rsidRPr="000B010A">
        <w:rPr>
          <w:rFonts w:ascii="Times New Roman" w:hAnsi="Times New Roman" w:cs="Times New Roman"/>
          <w:sz w:val="24"/>
          <w:szCs w:val="24"/>
        </w:rPr>
        <w:t>person</w:t>
      </w:r>
      <w:r w:rsidRPr="000B010A">
        <w:rPr>
          <w:rFonts w:ascii="Times New Roman" w:hAnsi="Times New Roman" w:cs="Times New Roman"/>
          <w:sz w:val="24"/>
          <w:szCs w:val="24"/>
        </w:rPr>
        <w:t xml:space="preserve"> to criminal liability. </w:t>
      </w:r>
      <w:r w:rsidR="00461474" w:rsidRPr="000B010A">
        <w:rPr>
          <w:rFonts w:ascii="Times New Roman" w:hAnsi="Times New Roman" w:cs="Times New Roman"/>
          <w:sz w:val="24"/>
          <w:szCs w:val="24"/>
        </w:rPr>
        <w:t>The 5</w:t>
      </w:r>
      <w:r w:rsidR="00461474" w:rsidRPr="000B010A">
        <w:rPr>
          <w:rFonts w:ascii="Times New Roman" w:hAnsi="Times New Roman" w:cs="Times New Roman"/>
          <w:sz w:val="24"/>
          <w:szCs w:val="24"/>
          <w:vertAlign w:val="superscript"/>
        </w:rPr>
        <w:t>th</w:t>
      </w:r>
      <w:r w:rsidR="00461474" w:rsidRPr="000B010A">
        <w:rPr>
          <w:rFonts w:ascii="Times New Roman" w:hAnsi="Times New Roman" w:cs="Times New Roman"/>
          <w:sz w:val="24"/>
          <w:szCs w:val="24"/>
        </w:rPr>
        <w:t xml:space="preserve"> Amendment</w:t>
      </w:r>
      <w:r w:rsidRPr="000B010A">
        <w:rPr>
          <w:rFonts w:ascii="Times New Roman" w:hAnsi="Times New Roman" w:cs="Times New Roman"/>
          <w:sz w:val="24"/>
          <w:szCs w:val="24"/>
        </w:rPr>
        <w:t xml:space="preserve"> </w:t>
      </w:r>
      <w:r w:rsidR="00461474" w:rsidRPr="000B010A">
        <w:rPr>
          <w:rFonts w:ascii="Times New Roman" w:hAnsi="Times New Roman" w:cs="Times New Roman"/>
          <w:sz w:val="24"/>
          <w:szCs w:val="24"/>
        </w:rPr>
        <w:t>states that people</w:t>
      </w:r>
      <w:r w:rsidRPr="000B010A">
        <w:rPr>
          <w:rFonts w:ascii="Times New Roman" w:hAnsi="Times New Roman" w:cs="Times New Roman"/>
          <w:sz w:val="24"/>
          <w:szCs w:val="24"/>
        </w:rPr>
        <w:t xml:space="preserve"> </w:t>
      </w:r>
      <w:r w:rsidR="00461474" w:rsidRPr="000B010A">
        <w:rPr>
          <w:rFonts w:ascii="Times New Roman" w:hAnsi="Times New Roman" w:cs="Times New Roman"/>
          <w:sz w:val="24"/>
          <w:szCs w:val="24"/>
        </w:rPr>
        <w:t>can</w:t>
      </w:r>
      <w:r w:rsidRPr="000B010A">
        <w:rPr>
          <w:rFonts w:ascii="Times New Roman" w:hAnsi="Times New Roman" w:cs="Times New Roman"/>
          <w:sz w:val="24"/>
          <w:szCs w:val="24"/>
        </w:rPr>
        <w:t xml:space="preserve">not be compelled to be witnesses against themselves. </w:t>
      </w:r>
      <w:r w:rsidR="00461474" w:rsidRPr="000B010A">
        <w:rPr>
          <w:rFonts w:ascii="Times New Roman" w:hAnsi="Times New Roman" w:cs="Times New Roman"/>
          <w:sz w:val="24"/>
          <w:szCs w:val="24"/>
        </w:rPr>
        <w:t xml:space="preserve">Someone </w:t>
      </w:r>
      <w:r w:rsidRPr="000B010A">
        <w:rPr>
          <w:rFonts w:ascii="Times New Roman" w:hAnsi="Times New Roman" w:cs="Times New Roman"/>
          <w:sz w:val="24"/>
          <w:szCs w:val="24"/>
        </w:rPr>
        <w:t xml:space="preserve">who possesses guns in violation of a prohibition faces a difficult </w:t>
      </w:r>
      <w:r w:rsidR="00461474" w:rsidRPr="000B010A">
        <w:rPr>
          <w:rFonts w:ascii="Times New Roman" w:hAnsi="Times New Roman" w:cs="Times New Roman"/>
          <w:sz w:val="24"/>
          <w:szCs w:val="24"/>
        </w:rPr>
        <w:t>choice</w:t>
      </w:r>
      <w:r w:rsidRPr="000B010A">
        <w:rPr>
          <w:rFonts w:ascii="Times New Roman" w:hAnsi="Times New Roman" w:cs="Times New Roman"/>
          <w:sz w:val="24"/>
          <w:szCs w:val="24"/>
        </w:rPr>
        <w:t xml:space="preserve">: continue to possess and risk exposure, or attempt to relinquish in an effort to avoid additional punishment?  </w:t>
      </w:r>
    </w:p>
    <w:p w14:paraId="14F18CD6" w14:textId="651F3B3E"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 xml:space="preserve">Acknowledging that this </w:t>
      </w:r>
      <w:r w:rsidR="00F907EA" w:rsidRPr="000B010A">
        <w:rPr>
          <w:rFonts w:ascii="Times New Roman" w:hAnsi="Times New Roman" w:cs="Times New Roman"/>
          <w:sz w:val="24"/>
          <w:szCs w:val="24"/>
        </w:rPr>
        <w:t>could</w:t>
      </w:r>
      <w:r w:rsidRPr="000B010A">
        <w:rPr>
          <w:rFonts w:ascii="Times New Roman" w:hAnsi="Times New Roman" w:cs="Times New Roman"/>
          <w:sz w:val="24"/>
          <w:szCs w:val="24"/>
        </w:rPr>
        <w:t xml:space="preserve"> in</w:t>
      </w:r>
      <w:r w:rsidR="00F907EA" w:rsidRPr="000B010A">
        <w:rPr>
          <w:rFonts w:ascii="Times New Roman" w:hAnsi="Times New Roman" w:cs="Times New Roman"/>
          <w:sz w:val="24"/>
          <w:szCs w:val="24"/>
        </w:rPr>
        <w:t xml:space="preserve">volve </w:t>
      </w:r>
      <w:r w:rsidRPr="000B010A">
        <w:rPr>
          <w:rFonts w:ascii="Times New Roman" w:hAnsi="Times New Roman" w:cs="Times New Roman"/>
          <w:sz w:val="24"/>
          <w:szCs w:val="24"/>
        </w:rPr>
        <w:t>discover</w:t>
      </w:r>
      <w:r w:rsidR="00F907EA" w:rsidRPr="000B010A">
        <w:rPr>
          <w:rFonts w:ascii="Times New Roman" w:hAnsi="Times New Roman" w:cs="Times New Roman"/>
          <w:sz w:val="24"/>
          <w:szCs w:val="24"/>
        </w:rPr>
        <w:t>ing</w:t>
      </w:r>
      <w:r w:rsidRPr="000B010A">
        <w:rPr>
          <w:rFonts w:ascii="Times New Roman" w:hAnsi="Times New Roman" w:cs="Times New Roman"/>
          <w:sz w:val="24"/>
          <w:szCs w:val="24"/>
        </w:rPr>
        <w:t xml:space="preserve"> illegal activity prevents this process from moving forward.</w:t>
      </w:r>
      <w:r w:rsidR="00F907EA" w:rsidRPr="000B010A">
        <w:rPr>
          <w:rFonts w:ascii="Times New Roman" w:hAnsi="Times New Roman" w:cs="Times New Roman"/>
          <w:sz w:val="24"/>
          <w:szCs w:val="24"/>
        </w:rPr>
        <w:t xml:space="preserve"> </w:t>
      </w:r>
      <w:r w:rsidRPr="000B010A">
        <w:rPr>
          <w:rFonts w:ascii="Times New Roman" w:hAnsi="Times New Roman" w:cs="Times New Roman"/>
          <w:sz w:val="24"/>
          <w:szCs w:val="24"/>
        </w:rPr>
        <w:t xml:space="preserve">By shifting the </w:t>
      </w:r>
      <w:r w:rsidR="00F907EA" w:rsidRPr="000B010A">
        <w:rPr>
          <w:rFonts w:ascii="Times New Roman" w:hAnsi="Times New Roman" w:cs="Times New Roman"/>
          <w:sz w:val="24"/>
          <w:szCs w:val="24"/>
        </w:rPr>
        <w:t>focus</w:t>
      </w:r>
      <w:r w:rsidRPr="000B010A">
        <w:rPr>
          <w:rFonts w:ascii="Times New Roman" w:hAnsi="Times New Roman" w:cs="Times New Roman"/>
          <w:sz w:val="24"/>
          <w:szCs w:val="24"/>
        </w:rPr>
        <w:t xml:space="preserve"> away from prosecuting past offenses </w:t>
      </w:r>
      <w:r w:rsidR="00F907EA" w:rsidRPr="000B010A">
        <w:rPr>
          <w:rFonts w:ascii="Times New Roman" w:hAnsi="Times New Roman" w:cs="Times New Roman"/>
          <w:sz w:val="24"/>
          <w:szCs w:val="24"/>
        </w:rPr>
        <w:t>to</w:t>
      </w:r>
      <w:r w:rsidRPr="000B010A">
        <w:rPr>
          <w:rFonts w:ascii="Times New Roman" w:hAnsi="Times New Roman" w:cs="Times New Roman"/>
          <w:sz w:val="24"/>
          <w:szCs w:val="24"/>
        </w:rPr>
        <w:t xml:space="preserve"> emphasizing the social utility of taking guns out of the hands of dangerous people, </w:t>
      </w:r>
      <w:r w:rsidR="00F907EA" w:rsidRPr="000B010A">
        <w:rPr>
          <w:rFonts w:ascii="Times New Roman" w:hAnsi="Times New Roman" w:cs="Times New Roman"/>
          <w:sz w:val="24"/>
          <w:szCs w:val="24"/>
        </w:rPr>
        <w:t>we</w:t>
      </w:r>
      <w:r w:rsidRPr="000B010A">
        <w:rPr>
          <w:rFonts w:ascii="Times New Roman" w:hAnsi="Times New Roman" w:cs="Times New Roman"/>
          <w:sz w:val="24"/>
          <w:szCs w:val="24"/>
        </w:rPr>
        <w:t xml:space="preserve"> reach</w:t>
      </w:r>
      <w:r w:rsidR="00F907EA" w:rsidRPr="000B010A">
        <w:rPr>
          <w:rFonts w:ascii="Times New Roman" w:hAnsi="Times New Roman" w:cs="Times New Roman"/>
          <w:sz w:val="24"/>
          <w:szCs w:val="24"/>
        </w:rPr>
        <w:t xml:space="preserve"> a compromise</w:t>
      </w:r>
      <w:r w:rsidRPr="000B010A">
        <w:rPr>
          <w:rFonts w:ascii="Times New Roman" w:hAnsi="Times New Roman" w:cs="Times New Roman"/>
          <w:sz w:val="24"/>
          <w:szCs w:val="24"/>
        </w:rPr>
        <w:t xml:space="preserve">. </w:t>
      </w:r>
      <w:r w:rsidR="00F907EA" w:rsidRPr="000B010A">
        <w:rPr>
          <w:rFonts w:ascii="Times New Roman" w:hAnsi="Times New Roman" w:cs="Times New Roman"/>
          <w:sz w:val="24"/>
          <w:szCs w:val="24"/>
        </w:rPr>
        <w:t>We advance the aim of reducing firearm violence i</w:t>
      </w:r>
      <w:r w:rsidRPr="000B010A">
        <w:rPr>
          <w:rFonts w:ascii="Times New Roman" w:hAnsi="Times New Roman" w:cs="Times New Roman"/>
          <w:sz w:val="24"/>
          <w:szCs w:val="24"/>
        </w:rPr>
        <w:t xml:space="preserve">f </w:t>
      </w:r>
      <w:r w:rsidR="00F907EA" w:rsidRPr="000B010A">
        <w:rPr>
          <w:rFonts w:ascii="Times New Roman" w:hAnsi="Times New Roman" w:cs="Times New Roman"/>
          <w:sz w:val="24"/>
          <w:szCs w:val="24"/>
        </w:rPr>
        <w:t xml:space="preserve">a </w:t>
      </w:r>
      <w:r w:rsidRPr="000B010A">
        <w:rPr>
          <w:rFonts w:ascii="Times New Roman" w:hAnsi="Times New Roman" w:cs="Times New Roman"/>
          <w:sz w:val="24"/>
          <w:szCs w:val="24"/>
        </w:rPr>
        <w:t>statement about gun possess</w:t>
      </w:r>
      <w:r w:rsidR="00F907EA" w:rsidRPr="000B010A">
        <w:rPr>
          <w:rFonts w:ascii="Times New Roman" w:hAnsi="Times New Roman" w:cs="Times New Roman"/>
          <w:sz w:val="24"/>
          <w:szCs w:val="24"/>
        </w:rPr>
        <w:t>ion by a defendant</w:t>
      </w:r>
      <w:r w:rsidRPr="000B010A">
        <w:rPr>
          <w:rFonts w:ascii="Times New Roman" w:hAnsi="Times New Roman" w:cs="Times New Roman"/>
          <w:sz w:val="24"/>
          <w:szCs w:val="24"/>
        </w:rPr>
        <w:t xml:space="preserve"> and the act of relinquishment are</w:t>
      </w:r>
      <w:r w:rsidR="00F907EA" w:rsidRPr="000B010A">
        <w:rPr>
          <w:rFonts w:ascii="Times New Roman" w:hAnsi="Times New Roman" w:cs="Times New Roman"/>
          <w:sz w:val="24"/>
          <w:szCs w:val="24"/>
        </w:rPr>
        <w:t xml:space="preserve"> both</w:t>
      </w:r>
      <w:r w:rsidRPr="000B010A">
        <w:rPr>
          <w:rFonts w:ascii="Times New Roman" w:hAnsi="Times New Roman" w:cs="Times New Roman"/>
          <w:sz w:val="24"/>
          <w:szCs w:val="24"/>
        </w:rPr>
        <w:t xml:space="preserve"> immune from criminal prosecution.</w:t>
      </w:r>
      <w:r w:rsidR="00F907EA" w:rsidRPr="000B010A">
        <w:rPr>
          <w:rStyle w:val="FootnoteReference"/>
          <w:rFonts w:ascii="Times New Roman" w:hAnsi="Times New Roman" w:cs="Times New Roman"/>
          <w:sz w:val="24"/>
          <w:szCs w:val="24"/>
        </w:rPr>
        <w:footnoteReference w:id="9"/>
      </w:r>
    </w:p>
    <w:p w14:paraId="5A714951" w14:textId="4BAA720E" w:rsidR="00947CDE" w:rsidRPr="000B010A" w:rsidRDefault="00D9131D" w:rsidP="00947CDE">
      <w:pPr>
        <w:jc w:val="center"/>
        <w:rPr>
          <w:rFonts w:ascii="Times New Roman" w:hAnsi="Times New Roman" w:cs="Times New Roman"/>
          <w:b/>
          <w:bCs/>
          <w:smallCaps/>
          <w:sz w:val="24"/>
          <w:szCs w:val="24"/>
        </w:rPr>
      </w:pPr>
      <w:r>
        <w:rPr>
          <w:rFonts w:ascii="Times New Roman" w:hAnsi="Times New Roman" w:cs="Times New Roman"/>
          <w:b/>
          <w:bCs/>
          <w:smallCaps/>
          <w:sz w:val="24"/>
          <w:szCs w:val="24"/>
        </w:rPr>
        <w:t>Storage</w:t>
      </w:r>
    </w:p>
    <w:p w14:paraId="03417F4F" w14:textId="4761C126" w:rsidR="003823B5" w:rsidRDefault="00F907EA" w:rsidP="00994C7F">
      <w:pPr>
        <w:jc w:val="both"/>
        <w:rPr>
          <w:rFonts w:ascii="Times New Roman" w:hAnsi="Times New Roman" w:cs="Times New Roman"/>
          <w:sz w:val="24"/>
          <w:szCs w:val="24"/>
        </w:rPr>
      </w:pPr>
      <w:r w:rsidRPr="000B010A">
        <w:rPr>
          <w:rFonts w:ascii="Times New Roman" w:hAnsi="Times New Roman" w:cs="Times New Roman"/>
          <w:sz w:val="24"/>
          <w:szCs w:val="24"/>
        </w:rPr>
        <w:t>T</w:t>
      </w:r>
      <w:r w:rsidR="00947CDE" w:rsidRPr="000B010A">
        <w:rPr>
          <w:rFonts w:ascii="Times New Roman" w:hAnsi="Times New Roman" w:cs="Times New Roman"/>
          <w:sz w:val="24"/>
          <w:szCs w:val="24"/>
        </w:rPr>
        <w:t>he</w:t>
      </w:r>
      <w:r w:rsidRPr="000B010A">
        <w:rPr>
          <w:rFonts w:ascii="Times New Roman" w:hAnsi="Times New Roman" w:cs="Times New Roman"/>
          <w:sz w:val="24"/>
          <w:szCs w:val="24"/>
        </w:rPr>
        <w:t xml:space="preserve"> safe storage of relinquished firearms is frequently mentioned as an impediment.</w:t>
      </w:r>
      <w:r w:rsidR="00947CDE" w:rsidRPr="000B010A">
        <w:rPr>
          <w:rFonts w:ascii="Times New Roman" w:hAnsi="Times New Roman" w:cs="Times New Roman"/>
          <w:sz w:val="24"/>
          <w:szCs w:val="24"/>
        </w:rPr>
        <w:t xml:space="preserve"> </w:t>
      </w:r>
      <w:r w:rsidRPr="000B010A">
        <w:rPr>
          <w:rFonts w:ascii="Times New Roman" w:hAnsi="Times New Roman" w:cs="Times New Roman"/>
          <w:sz w:val="24"/>
          <w:szCs w:val="24"/>
        </w:rPr>
        <w:t>This is</w:t>
      </w:r>
      <w:r w:rsidR="00947CDE" w:rsidRPr="000B010A">
        <w:rPr>
          <w:rFonts w:ascii="Times New Roman" w:hAnsi="Times New Roman" w:cs="Times New Roman"/>
          <w:sz w:val="24"/>
          <w:szCs w:val="24"/>
        </w:rPr>
        <w:t xml:space="preserve"> the most-cited reason why firearm relinquishment cannot be effectively implemented. The objections take two forms: either that there is insufficient space to store so many guns, or the liability for damage that </w:t>
      </w:r>
      <w:r w:rsidRPr="000B010A">
        <w:rPr>
          <w:rFonts w:ascii="Times New Roman" w:hAnsi="Times New Roman" w:cs="Times New Roman"/>
          <w:sz w:val="24"/>
          <w:szCs w:val="24"/>
        </w:rPr>
        <w:t>may</w:t>
      </w:r>
      <w:r w:rsidR="00947CDE" w:rsidRPr="000B010A">
        <w:rPr>
          <w:rFonts w:ascii="Times New Roman" w:hAnsi="Times New Roman" w:cs="Times New Roman"/>
          <w:sz w:val="24"/>
          <w:szCs w:val="24"/>
        </w:rPr>
        <w:t xml:space="preserve"> occur to firearms</w:t>
      </w:r>
      <w:r w:rsidRPr="000B010A">
        <w:rPr>
          <w:rFonts w:ascii="Times New Roman" w:hAnsi="Times New Roman" w:cs="Times New Roman"/>
          <w:sz w:val="24"/>
          <w:szCs w:val="24"/>
        </w:rPr>
        <w:t xml:space="preserve"> in storage</w:t>
      </w:r>
      <w:r w:rsidR="00947CDE" w:rsidRPr="000B010A">
        <w:rPr>
          <w:rFonts w:ascii="Times New Roman" w:hAnsi="Times New Roman" w:cs="Times New Roman"/>
          <w:sz w:val="24"/>
          <w:szCs w:val="24"/>
        </w:rPr>
        <w:t>. These do not present insurmountable obstacles to implementation.</w:t>
      </w:r>
      <w:r w:rsidR="00E7344C" w:rsidRPr="000B010A">
        <w:rPr>
          <w:rFonts w:ascii="Times New Roman" w:hAnsi="Times New Roman" w:cs="Times New Roman"/>
          <w:sz w:val="24"/>
          <w:szCs w:val="24"/>
        </w:rPr>
        <w:t xml:space="preserve"> </w:t>
      </w:r>
    </w:p>
    <w:p w14:paraId="2F4C11BB" w14:textId="31AEDA0D" w:rsidR="003823B5" w:rsidRDefault="003823B5" w:rsidP="00994C7F">
      <w:pPr>
        <w:jc w:val="both"/>
        <w:rPr>
          <w:rFonts w:ascii="Times New Roman" w:hAnsi="Times New Roman" w:cs="Times New Roman"/>
          <w:sz w:val="24"/>
          <w:szCs w:val="24"/>
        </w:rPr>
      </w:pPr>
      <w:r>
        <w:rPr>
          <w:rFonts w:ascii="Times New Roman" w:hAnsi="Times New Roman" w:cs="Times New Roman"/>
          <w:sz w:val="24"/>
          <w:szCs w:val="24"/>
        </w:rPr>
        <w:t xml:space="preserve">Most jurisdictions approach storage of firearms relinquished as a separate basis from those seized as evidence of a crime.  The latter may have evidentiary value in many forms. These should not be cleaned, touched, or otherwise handled. The former </w:t>
      </w:r>
      <w:r w:rsidR="006E0E67">
        <w:rPr>
          <w:rFonts w:ascii="Times New Roman" w:hAnsi="Times New Roman" w:cs="Times New Roman"/>
          <w:sz w:val="24"/>
          <w:szCs w:val="24"/>
        </w:rPr>
        <w:t>is</w:t>
      </w:r>
      <w:r>
        <w:rPr>
          <w:rFonts w:ascii="Times New Roman" w:hAnsi="Times New Roman" w:cs="Times New Roman"/>
          <w:sz w:val="24"/>
          <w:szCs w:val="24"/>
        </w:rPr>
        <w:t xml:space="preserve"> merely stored as a means of ensuring that the defendant does not take possession of them until it is legally permissible to do so. There is no reason why law enforcement should not regularly maintain these firearms to ensure that no harm comes to them.</w:t>
      </w:r>
    </w:p>
    <w:p w14:paraId="60085E71" w14:textId="2E9D79E9" w:rsidR="19B5F642" w:rsidRDefault="003823B5" w:rsidP="19B5F642">
      <w:pPr>
        <w:jc w:val="both"/>
        <w:rPr>
          <w:rFonts w:ascii="Times New Roman" w:hAnsi="Times New Roman" w:cs="Times New Roman"/>
          <w:sz w:val="24"/>
          <w:szCs w:val="24"/>
        </w:rPr>
      </w:pPr>
      <w:r>
        <w:rPr>
          <w:rFonts w:ascii="Times New Roman" w:hAnsi="Times New Roman" w:cs="Times New Roman"/>
          <w:sz w:val="24"/>
          <w:szCs w:val="24"/>
        </w:rPr>
        <w:t xml:space="preserve">With respect to the space required to store firearms, this should not present a significant problem. We know of no jurisdiction that has encountered this problem to date.  </w:t>
      </w:r>
      <w:r w:rsidR="00947CDE" w:rsidRPr="000B010A">
        <w:rPr>
          <w:rFonts w:ascii="Times New Roman" w:hAnsi="Times New Roman" w:cs="Times New Roman"/>
          <w:sz w:val="24"/>
          <w:szCs w:val="24"/>
        </w:rPr>
        <w:t xml:space="preserve">If the resources </w:t>
      </w:r>
      <w:r w:rsidR="00E7344C" w:rsidRPr="000B010A">
        <w:rPr>
          <w:rFonts w:ascii="Times New Roman" w:hAnsi="Times New Roman" w:cs="Times New Roman"/>
          <w:sz w:val="24"/>
          <w:szCs w:val="24"/>
        </w:rPr>
        <w:t>necessary are un</w:t>
      </w:r>
      <w:r w:rsidR="00947CDE" w:rsidRPr="000B010A">
        <w:rPr>
          <w:rFonts w:ascii="Times New Roman" w:hAnsi="Times New Roman" w:cs="Times New Roman"/>
          <w:sz w:val="24"/>
          <w:szCs w:val="24"/>
        </w:rPr>
        <w:t xml:space="preserve">available, then </w:t>
      </w:r>
      <w:r w:rsidR="00E7344C" w:rsidRPr="000B010A">
        <w:rPr>
          <w:rFonts w:ascii="Times New Roman" w:hAnsi="Times New Roman" w:cs="Times New Roman"/>
          <w:sz w:val="24"/>
          <w:szCs w:val="24"/>
        </w:rPr>
        <w:t>resources must be reallocated.</w:t>
      </w:r>
      <w:r w:rsidR="00947CDE" w:rsidRPr="000B010A">
        <w:rPr>
          <w:rFonts w:ascii="Times New Roman" w:hAnsi="Times New Roman" w:cs="Times New Roman"/>
          <w:sz w:val="24"/>
          <w:szCs w:val="24"/>
        </w:rPr>
        <w:t xml:space="preserve"> </w:t>
      </w:r>
    </w:p>
    <w:p w14:paraId="540923FC" w14:textId="32D86377" w:rsidR="00947CDE" w:rsidRPr="00E10125" w:rsidRDefault="001C645C" w:rsidP="00994C7F">
      <w:pPr>
        <w:pStyle w:val="ListParagraph"/>
        <w:numPr>
          <w:ilvl w:val="0"/>
          <w:numId w:val="1"/>
        </w:numPr>
        <w:rPr>
          <w:rFonts w:ascii="Times New Roman" w:hAnsi="Times New Roman" w:cs="Times New Roman"/>
          <w:sz w:val="24"/>
          <w:szCs w:val="24"/>
        </w:rPr>
      </w:pPr>
      <w:r w:rsidRPr="00E10125">
        <w:rPr>
          <w:rFonts w:ascii="Times New Roman" w:hAnsi="Times New Roman" w:cs="Times New Roman"/>
          <w:b/>
          <w:bCs/>
          <w:smallCaps/>
          <w:color w:val="C45911" w:themeColor="accent2" w:themeShade="BF"/>
          <w:sz w:val="28"/>
          <w:szCs w:val="28"/>
        </w:rPr>
        <w:t>Remaining Considerations</w:t>
      </w:r>
    </w:p>
    <w:p w14:paraId="5A4E236A" w14:textId="6E1DB790" w:rsidR="00947CDE" w:rsidRPr="000B010A" w:rsidRDefault="00947CDE" w:rsidP="00AA35EA">
      <w:pPr>
        <w:jc w:val="center"/>
        <w:rPr>
          <w:rFonts w:ascii="Times New Roman" w:hAnsi="Times New Roman" w:cs="Times New Roman"/>
          <w:b/>
          <w:bCs/>
          <w:smallCaps/>
          <w:sz w:val="24"/>
          <w:szCs w:val="24"/>
        </w:rPr>
      </w:pPr>
      <w:r w:rsidRPr="000B010A">
        <w:rPr>
          <w:rFonts w:ascii="Times New Roman" w:hAnsi="Times New Roman" w:cs="Times New Roman"/>
          <w:b/>
          <w:bCs/>
          <w:smallCaps/>
          <w:sz w:val="24"/>
          <w:szCs w:val="24"/>
        </w:rPr>
        <w:t>Third-party transfer</w:t>
      </w:r>
    </w:p>
    <w:p w14:paraId="6FFB8876" w14:textId="435E3265" w:rsidR="00947CDE" w:rsidRPr="000B010A" w:rsidRDefault="00947CDE">
      <w:pPr>
        <w:rPr>
          <w:rFonts w:ascii="Times New Roman" w:hAnsi="Times New Roman" w:cs="Times New Roman"/>
          <w:sz w:val="24"/>
          <w:szCs w:val="24"/>
        </w:rPr>
      </w:pPr>
      <w:r w:rsidRPr="000B010A">
        <w:rPr>
          <w:rFonts w:ascii="Times New Roman" w:hAnsi="Times New Roman" w:cs="Times New Roman"/>
          <w:sz w:val="24"/>
          <w:szCs w:val="24"/>
        </w:rPr>
        <w:t xml:space="preserve">Many states authorize a third party designated by the defendant to hold relinquished firearms until the defendant </w:t>
      </w:r>
      <w:r w:rsidR="008E4111" w:rsidRPr="000B010A">
        <w:rPr>
          <w:rFonts w:ascii="Times New Roman" w:hAnsi="Times New Roman" w:cs="Times New Roman"/>
          <w:sz w:val="24"/>
          <w:szCs w:val="24"/>
        </w:rPr>
        <w:t xml:space="preserve">regains the right to possess. </w:t>
      </w:r>
      <w:r w:rsidRPr="000B010A">
        <w:rPr>
          <w:rFonts w:ascii="Times New Roman" w:hAnsi="Times New Roman" w:cs="Times New Roman"/>
          <w:sz w:val="24"/>
          <w:szCs w:val="24"/>
        </w:rPr>
        <w:t xml:space="preserve">Some defendants distrust law enforcement to hold their firearms </w:t>
      </w:r>
      <w:r w:rsidRPr="000B010A">
        <w:rPr>
          <w:rFonts w:ascii="Times New Roman" w:hAnsi="Times New Roman" w:cs="Times New Roman"/>
          <w:sz w:val="28"/>
          <w:szCs w:val="28"/>
        </w:rPr>
        <w:t xml:space="preserve">safely and return </w:t>
      </w:r>
      <w:r w:rsidRPr="000B010A">
        <w:rPr>
          <w:rFonts w:ascii="Times New Roman" w:hAnsi="Times New Roman" w:cs="Times New Roman"/>
          <w:sz w:val="24"/>
          <w:szCs w:val="24"/>
        </w:rPr>
        <w:t>them when the disqualification</w:t>
      </w:r>
      <w:r w:rsidR="00F17F8B" w:rsidRPr="000B010A">
        <w:rPr>
          <w:rFonts w:ascii="Times New Roman" w:hAnsi="Times New Roman" w:cs="Times New Roman"/>
          <w:sz w:val="24"/>
          <w:szCs w:val="24"/>
        </w:rPr>
        <w:t xml:space="preserve"> </w:t>
      </w:r>
      <w:r w:rsidRPr="000B010A">
        <w:rPr>
          <w:rFonts w:ascii="Times New Roman" w:hAnsi="Times New Roman" w:cs="Times New Roman"/>
          <w:sz w:val="24"/>
          <w:szCs w:val="24"/>
        </w:rPr>
        <w:t>terminates.</w:t>
      </w:r>
      <w:r w:rsidR="00F17F8B" w:rsidRPr="000B010A">
        <w:rPr>
          <w:rFonts w:ascii="Times New Roman" w:hAnsi="Times New Roman" w:cs="Times New Roman"/>
          <w:sz w:val="24"/>
          <w:szCs w:val="24"/>
        </w:rPr>
        <w:t xml:space="preserve"> Relinquishment through third</w:t>
      </w:r>
      <w:r w:rsidR="00816B9A" w:rsidRPr="000B010A">
        <w:rPr>
          <w:rFonts w:ascii="Times New Roman" w:hAnsi="Times New Roman" w:cs="Times New Roman"/>
          <w:sz w:val="24"/>
          <w:szCs w:val="24"/>
        </w:rPr>
        <w:t xml:space="preserve"> </w:t>
      </w:r>
      <w:r w:rsidR="00F17F8B" w:rsidRPr="000B010A">
        <w:rPr>
          <w:rFonts w:ascii="Times New Roman" w:hAnsi="Times New Roman" w:cs="Times New Roman"/>
          <w:sz w:val="24"/>
          <w:szCs w:val="24"/>
        </w:rPr>
        <w:t>parties</w:t>
      </w:r>
      <w:r w:rsidRPr="000B010A">
        <w:rPr>
          <w:rFonts w:ascii="Times New Roman" w:hAnsi="Times New Roman" w:cs="Times New Roman"/>
          <w:sz w:val="24"/>
          <w:szCs w:val="24"/>
        </w:rPr>
        <w:t xml:space="preserve"> also relieve</w:t>
      </w:r>
      <w:r w:rsidR="00F17F8B" w:rsidRPr="000B010A">
        <w:rPr>
          <w:rFonts w:ascii="Times New Roman" w:hAnsi="Times New Roman" w:cs="Times New Roman"/>
          <w:sz w:val="24"/>
          <w:szCs w:val="24"/>
        </w:rPr>
        <w:t>s</w:t>
      </w:r>
      <w:r w:rsidRPr="000B010A">
        <w:rPr>
          <w:rFonts w:ascii="Times New Roman" w:hAnsi="Times New Roman" w:cs="Times New Roman"/>
          <w:sz w:val="24"/>
          <w:szCs w:val="24"/>
        </w:rPr>
        <w:t xml:space="preserve"> some of the burden of storing firearms with law enforcement.</w:t>
      </w:r>
      <w:r w:rsidR="00F17F8B" w:rsidRPr="000B010A">
        <w:rPr>
          <w:rFonts w:ascii="Times New Roman" w:hAnsi="Times New Roman" w:cs="Times New Roman"/>
          <w:sz w:val="24"/>
          <w:szCs w:val="24"/>
        </w:rPr>
        <w:br/>
      </w:r>
      <w:r w:rsidR="00F17F8B" w:rsidRPr="000B010A">
        <w:rPr>
          <w:rFonts w:ascii="Times New Roman" w:hAnsi="Times New Roman" w:cs="Times New Roman"/>
          <w:sz w:val="24"/>
          <w:szCs w:val="24"/>
        </w:rPr>
        <w:br/>
        <w:t>But this</w:t>
      </w:r>
      <w:r w:rsidRPr="000B010A">
        <w:rPr>
          <w:rFonts w:ascii="Times New Roman" w:hAnsi="Times New Roman" w:cs="Times New Roman"/>
          <w:sz w:val="24"/>
          <w:szCs w:val="24"/>
        </w:rPr>
        <w:t xml:space="preserve"> method </w:t>
      </w:r>
      <w:r w:rsidR="00F17F8B" w:rsidRPr="000B010A">
        <w:rPr>
          <w:rFonts w:ascii="Times New Roman" w:hAnsi="Times New Roman" w:cs="Times New Roman"/>
          <w:sz w:val="24"/>
          <w:szCs w:val="24"/>
        </w:rPr>
        <w:t>is</w:t>
      </w:r>
      <w:r w:rsidRPr="000B010A">
        <w:rPr>
          <w:rFonts w:ascii="Times New Roman" w:hAnsi="Times New Roman" w:cs="Times New Roman"/>
          <w:sz w:val="24"/>
          <w:szCs w:val="24"/>
        </w:rPr>
        <w:t xml:space="preserve"> problematic. Most states provide that an affidavit signed by the third-party, the defendant, or both </w:t>
      </w:r>
      <w:r w:rsidR="00F17F8B" w:rsidRPr="000B010A">
        <w:rPr>
          <w:rFonts w:ascii="Times New Roman" w:hAnsi="Times New Roman" w:cs="Times New Roman"/>
          <w:sz w:val="24"/>
          <w:szCs w:val="24"/>
        </w:rPr>
        <w:t>as</w:t>
      </w:r>
      <w:r w:rsidRPr="000B010A">
        <w:rPr>
          <w:rFonts w:ascii="Times New Roman" w:hAnsi="Times New Roman" w:cs="Times New Roman"/>
          <w:sz w:val="24"/>
          <w:szCs w:val="24"/>
        </w:rPr>
        <w:t xml:space="preserve"> the most common form of proof required. Most jurisdictions do not require review to ensure that this has taken place. Most troubling though is that most jurisdictions do not provide a method </w:t>
      </w:r>
      <w:r w:rsidR="00F17F8B" w:rsidRPr="000B010A">
        <w:rPr>
          <w:rFonts w:ascii="Times New Roman" w:hAnsi="Times New Roman" w:cs="Times New Roman"/>
          <w:sz w:val="24"/>
          <w:szCs w:val="24"/>
        </w:rPr>
        <w:t>for</w:t>
      </w:r>
      <w:r w:rsidRPr="000B010A">
        <w:rPr>
          <w:rFonts w:ascii="Times New Roman" w:hAnsi="Times New Roman" w:cs="Times New Roman"/>
          <w:sz w:val="24"/>
          <w:szCs w:val="24"/>
        </w:rPr>
        <w:t xml:space="preserve"> determining if the proposed third party is in fact an appropriate person to fulfill this obligation.</w:t>
      </w:r>
    </w:p>
    <w:p w14:paraId="1AF277C5" w14:textId="2073B982"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lastRenderedPageBreak/>
        <w:t>A</w:t>
      </w:r>
      <w:r w:rsidR="00F17F8B" w:rsidRPr="000B010A">
        <w:rPr>
          <w:rFonts w:ascii="Times New Roman" w:hAnsi="Times New Roman" w:cs="Times New Roman"/>
          <w:sz w:val="24"/>
          <w:szCs w:val="24"/>
        </w:rPr>
        <w:t xml:space="preserve"> </w:t>
      </w:r>
      <w:r w:rsidRPr="000B010A">
        <w:rPr>
          <w:rFonts w:ascii="Times New Roman" w:hAnsi="Times New Roman" w:cs="Times New Roman"/>
          <w:sz w:val="24"/>
          <w:szCs w:val="24"/>
        </w:rPr>
        <w:t>Supreme Court case</w:t>
      </w:r>
      <w:r w:rsidR="00F17F8B" w:rsidRPr="000B010A">
        <w:rPr>
          <w:rFonts w:ascii="Times New Roman" w:hAnsi="Times New Roman" w:cs="Times New Roman"/>
          <w:sz w:val="24"/>
          <w:szCs w:val="24"/>
        </w:rPr>
        <w:t xml:space="preserve"> </w:t>
      </w:r>
      <w:r w:rsidRPr="000B010A">
        <w:rPr>
          <w:rFonts w:ascii="Times New Roman" w:hAnsi="Times New Roman" w:cs="Times New Roman"/>
          <w:sz w:val="24"/>
          <w:szCs w:val="24"/>
        </w:rPr>
        <w:t>seems to suggest that this procedure violates federal law.</w:t>
      </w:r>
      <w:r w:rsidR="00F17F8B" w:rsidRPr="000B010A">
        <w:rPr>
          <w:rStyle w:val="FootnoteReference"/>
          <w:rFonts w:ascii="Times New Roman" w:hAnsi="Times New Roman" w:cs="Times New Roman"/>
          <w:sz w:val="24"/>
          <w:szCs w:val="24"/>
        </w:rPr>
        <w:footnoteReference w:id="10"/>
      </w:r>
      <w:r w:rsidRPr="000B010A">
        <w:rPr>
          <w:rFonts w:ascii="Times New Roman" w:hAnsi="Times New Roman" w:cs="Times New Roman"/>
          <w:sz w:val="24"/>
          <w:szCs w:val="24"/>
        </w:rPr>
        <w:t xml:space="preserve">  The court held that transfer of a firearm to a third party designated by the defendant is not permitted, unless </w:t>
      </w:r>
      <w:r w:rsidR="00F17F8B" w:rsidRPr="000B010A">
        <w:rPr>
          <w:rFonts w:ascii="Times New Roman" w:hAnsi="Times New Roman" w:cs="Times New Roman"/>
          <w:sz w:val="24"/>
          <w:szCs w:val="24"/>
        </w:rPr>
        <w:t>a</w:t>
      </w:r>
      <w:r w:rsidRPr="000B010A">
        <w:rPr>
          <w:rFonts w:ascii="Times New Roman" w:hAnsi="Times New Roman" w:cs="Times New Roman"/>
          <w:sz w:val="24"/>
          <w:szCs w:val="24"/>
        </w:rPr>
        <w:t xml:space="preserve"> court </w:t>
      </w:r>
      <w:r w:rsidR="00F17F8B" w:rsidRPr="000B010A">
        <w:rPr>
          <w:rFonts w:ascii="Times New Roman" w:hAnsi="Times New Roman" w:cs="Times New Roman"/>
          <w:sz w:val="24"/>
          <w:szCs w:val="24"/>
        </w:rPr>
        <w:t>determines</w:t>
      </w:r>
      <w:r w:rsidRPr="000B010A">
        <w:rPr>
          <w:rFonts w:ascii="Times New Roman" w:hAnsi="Times New Roman" w:cs="Times New Roman"/>
          <w:sz w:val="24"/>
          <w:szCs w:val="24"/>
        </w:rPr>
        <w:t xml:space="preserve"> that the third party is an appropriate person.  Specifically, the court </w:t>
      </w:r>
      <w:r w:rsidR="00F17F8B" w:rsidRPr="000B010A">
        <w:rPr>
          <w:rFonts w:ascii="Times New Roman" w:hAnsi="Times New Roman" w:cs="Times New Roman"/>
          <w:sz w:val="24"/>
          <w:szCs w:val="24"/>
        </w:rPr>
        <w:t>must determine</w:t>
      </w:r>
      <w:r w:rsidRPr="000B010A">
        <w:rPr>
          <w:rFonts w:ascii="Times New Roman" w:hAnsi="Times New Roman" w:cs="Times New Roman"/>
          <w:sz w:val="24"/>
          <w:szCs w:val="24"/>
        </w:rPr>
        <w:t xml:space="preserve"> that the proposed third party will take the obligation to keep guns away from the defendant seriously.</w:t>
      </w:r>
    </w:p>
    <w:p w14:paraId="3151F8F4" w14:textId="3AE76873" w:rsidR="00947CDE" w:rsidRPr="000B010A" w:rsidRDefault="00947CDE" w:rsidP="00AA35EA">
      <w:pPr>
        <w:jc w:val="center"/>
        <w:rPr>
          <w:rFonts w:ascii="Times New Roman" w:hAnsi="Times New Roman" w:cs="Times New Roman"/>
          <w:b/>
          <w:bCs/>
          <w:smallCaps/>
          <w:sz w:val="24"/>
          <w:szCs w:val="24"/>
        </w:rPr>
      </w:pPr>
      <w:r w:rsidRPr="000B010A">
        <w:rPr>
          <w:rFonts w:ascii="Times New Roman" w:hAnsi="Times New Roman" w:cs="Times New Roman"/>
          <w:b/>
          <w:bCs/>
          <w:smallCaps/>
          <w:sz w:val="24"/>
          <w:szCs w:val="24"/>
        </w:rPr>
        <w:t>Returning Firearms</w:t>
      </w:r>
    </w:p>
    <w:p w14:paraId="30C87837" w14:textId="3C7E66B2"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 xml:space="preserve">Returning firearms to the defendant is a relatively straightforward process. Once the disqualifying event has terminated, </w:t>
      </w:r>
      <w:r w:rsidR="00F17F8B" w:rsidRPr="000B010A">
        <w:rPr>
          <w:rFonts w:ascii="Times New Roman" w:hAnsi="Times New Roman" w:cs="Times New Roman"/>
          <w:sz w:val="24"/>
          <w:szCs w:val="24"/>
        </w:rPr>
        <w:t>for example</w:t>
      </w:r>
      <w:r w:rsidRPr="000B010A">
        <w:rPr>
          <w:rFonts w:ascii="Times New Roman" w:hAnsi="Times New Roman" w:cs="Times New Roman"/>
          <w:sz w:val="24"/>
          <w:szCs w:val="24"/>
        </w:rPr>
        <w:t>, the domestic violence protection order expire</w:t>
      </w:r>
      <w:r w:rsidR="00F17F8B" w:rsidRPr="000B010A">
        <w:rPr>
          <w:rFonts w:ascii="Times New Roman" w:hAnsi="Times New Roman" w:cs="Times New Roman"/>
          <w:sz w:val="24"/>
          <w:szCs w:val="24"/>
        </w:rPr>
        <w:t>s</w:t>
      </w:r>
      <w:r w:rsidRPr="000B010A">
        <w:rPr>
          <w:rFonts w:ascii="Times New Roman" w:hAnsi="Times New Roman" w:cs="Times New Roman"/>
          <w:sz w:val="24"/>
          <w:szCs w:val="24"/>
        </w:rPr>
        <w:t>, the defendant petitions the court for return of the guns. Provided the court is satisfied that the protection order has expired, the court orders local law enforcement to conduct a new background check to determine if other prohibitions on the defendant’s ability to possess guns legally</w:t>
      </w:r>
      <w:r w:rsidR="00F17F8B" w:rsidRPr="000B010A">
        <w:rPr>
          <w:rFonts w:ascii="Times New Roman" w:hAnsi="Times New Roman" w:cs="Times New Roman"/>
          <w:sz w:val="24"/>
          <w:szCs w:val="24"/>
        </w:rPr>
        <w:t xml:space="preserve"> exist</w:t>
      </w:r>
      <w:r w:rsidRPr="000B010A">
        <w:rPr>
          <w:rFonts w:ascii="Times New Roman" w:hAnsi="Times New Roman" w:cs="Times New Roman"/>
          <w:sz w:val="24"/>
          <w:szCs w:val="24"/>
        </w:rPr>
        <w:t xml:space="preserve">. Provided </w:t>
      </w:r>
      <w:r w:rsidR="004E291F">
        <w:rPr>
          <w:rFonts w:ascii="Times New Roman" w:hAnsi="Times New Roman" w:cs="Times New Roman"/>
          <w:sz w:val="24"/>
          <w:szCs w:val="24"/>
        </w:rPr>
        <w:t xml:space="preserve">there are </w:t>
      </w:r>
      <w:r w:rsidR="00F17F8B" w:rsidRPr="000B010A">
        <w:rPr>
          <w:rFonts w:ascii="Times New Roman" w:hAnsi="Times New Roman" w:cs="Times New Roman"/>
          <w:sz w:val="24"/>
          <w:szCs w:val="24"/>
        </w:rPr>
        <w:t>none</w:t>
      </w:r>
      <w:r w:rsidRPr="000B010A">
        <w:rPr>
          <w:rFonts w:ascii="Times New Roman" w:hAnsi="Times New Roman" w:cs="Times New Roman"/>
          <w:sz w:val="24"/>
          <w:szCs w:val="24"/>
        </w:rPr>
        <w:t>, the court orders the guns returned.</w:t>
      </w:r>
    </w:p>
    <w:p w14:paraId="6320F357" w14:textId="3DDC62DA" w:rsidR="00F907EA"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Some disqualifications, such as the conviction for a misdemeanor crime of domestic violence, carry a lifetime ban on possession of firearms and ammunition. It should be noted that this does not impact the defendant’s ownership rights. What is prohibited is the possession or acquisition of guns. Defendants are free to sell their guns at any time during the relinquishment process.</w:t>
      </w:r>
    </w:p>
    <w:p w14:paraId="72AF46D7" w14:textId="2C7BD1A4" w:rsidR="00947CDE" w:rsidRPr="00E10125" w:rsidRDefault="001C645C" w:rsidP="00994C7F">
      <w:pPr>
        <w:numPr>
          <w:ilvl w:val="0"/>
          <w:numId w:val="7"/>
        </w:numPr>
        <w:spacing w:after="120" w:line="360" w:lineRule="auto"/>
        <w:contextualSpacing/>
        <w:rPr>
          <w:rFonts w:ascii="Times New Roman" w:hAnsi="Times New Roman" w:cs="Times New Roman"/>
          <w:sz w:val="24"/>
          <w:szCs w:val="24"/>
        </w:rPr>
      </w:pPr>
      <w:r w:rsidRPr="00E10125">
        <w:rPr>
          <w:rFonts w:ascii="Times New Roman" w:hAnsi="Times New Roman" w:cs="Times New Roman"/>
          <w:b/>
          <w:bCs/>
          <w:smallCaps/>
          <w:color w:val="C45911" w:themeColor="accent2" w:themeShade="BF"/>
          <w:sz w:val="28"/>
          <w:szCs w:val="28"/>
        </w:rPr>
        <w:t>Conclusion</w:t>
      </w:r>
    </w:p>
    <w:p w14:paraId="493DA0D6" w14:textId="0539CC97" w:rsidR="00947CDE" w:rsidRPr="000B010A" w:rsidRDefault="00947CDE" w:rsidP="00994C7F">
      <w:pPr>
        <w:jc w:val="both"/>
        <w:rPr>
          <w:rFonts w:ascii="Times New Roman" w:hAnsi="Times New Roman" w:cs="Times New Roman"/>
          <w:sz w:val="24"/>
          <w:szCs w:val="24"/>
        </w:rPr>
      </w:pPr>
      <w:commentRangeStart w:id="7"/>
      <w:r w:rsidRPr="000B010A">
        <w:rPr>
          <w:rFonts w:ascii="Times New Roman" w:hAnsi="Times New Roman" w:cs="Times New Roman"/>
          <w:sz w:val="24"/>
          <w:szCs w:val="24"/>
        </w:rPr>
        <w:t xml:space="preserve">Effective firearm </w:t>
      </w:r>
      <w:r w:rsidR="00F17F8B" w:rsidRPr="000B010A">
        <w:rPr>
          <w:rFonts w:ascii="Times New Roman" w:hAnsi="Times New Roman" w:cs="Times New Roman"/>
          <w:sz w:val="24"/>
          <w:szCs w:val="24"/>
        </w:rPr>
        <w:t xml:space="preserve">relinquishment </w:t>
      </w:r>
      <w:r w:rsidRPr="000B010A">
        <w:rPr>
          <w:rFonts w:ascii="Times New Roman" w:hAnsi="Times New Roman" w:cs="Times New Roman"/>
          <w:sz w:val="24"/>
          <w:szCs w:val="24"/>
        </w:rPr>
        <w:t>protocols can save many lives. To be ef</w:t>
      </w:r>
      <w:r w:rsidR="00F17F8B" w:rsidRPr="000B010A">
        <w:rPr>
          <w:rFonts w:ascii="Times New Roman" w:hAnsi="Times New Roman" w:cs="Times New Roman"/>
          <w:sz w:val="24"/>
          <w:szCs w:val="24"/>
        </w:rPr>
        <w:t xml:space="preserve">fective, </w:t>
      </w:r>
      <w:r w:rsidRPr="000B010A">
        <w:rPr>
          <w:rFonts w:ascii="Times New Roman" w:hAnsi="Times New Roman" w:cs="Times New Roman"/>
          <w:sz w:val="24"/>
          <w:szCs w:val="24"/>
        </w:rPr>
        <w:t>protocol</w:t>
      </w:r>
      <w:r w:rsidR="00F17F8B" w:rsidRPr="000B010A">
        <w:rPr>
          <w:rFonts w:ascii="Times New Roman" w:hAnsi="Times New Roman" w:cs="Times New Roman"/>
          <w:sz w:val="24"/>
          <w:szCs w:val="24"/>
        </w:rPr>
        <w:t>s</w:t>
      </w:r>
      <w:r w:rsidRPr="000B010A">
        <w:rPr>
          <w:rFonts w:ascii="Times New Roman" w:hAnsi="Times New Roman" w:cs="Times New Roman"/>
          <w:sz w:val="24"/>
          <w:szCs w:val="24"/>
        </w:rPr>
        <w:t xml:space="preserve"> must minimize opportunities that defendants have to avoid the obligation to surrender fire</w:t>
      </w:r>
      <w:r w:rsidR="00F17F8B" w:rsidRPr="000B010A">
        <w:rPr>
          <w:rFonts w:ascii="Times New Roman" w:hAnsi="Times New Roman" w:cs="Times New Roman"/>
          <w:sz w:val="24"/>
          <w:szCs w:val="24"/>
        </w:rPr>
        <w:t>arms</w:t>
      </w:r>
      <w:r w:rsidRPr="000B010A">
        <w:rPr>
          <w:rFonts w:ascii="Times New Roman" w:hAnsi="Times New Roman" w:cs="Times New Roman"/>
          <w:sz w:val="24"/>
          <w:szCs w:val="24"/>
        </w:rPr>
        <w:t xml:space="preserve">. </w:t>
      </w:r>
      <w:commentRangeEnd w:id="7"/>
      <w:r w:rsidR="0069112B">
        <w:rPr>
          <w:rStyle w:val="CommentReference"/>
        </w:rPr>
        <w:commentReference w:id="7"/>
      </w:r>
      <w:r w:rsidRPr="000B010A">
        <w:rPr>
          <w:rFonts w:ascii="Times New Roman" w:hAnsi="Times New Roman" w:cs="Times New Roman"/>
          <w:sz w:val="24"/>
          <w:szCs w:val="24"/>
        </w:rPr>
        <w:t>This requires careful planning, cooperation, and communication between key players within the legal system. This in turn requires a commitment to plan, implement, a</w:t>
      </w:r>
      <w:r w:rsidR="00F17F8B" w:rsidRPr="000B010A">
        <w:rPr>
          <w:rFonts w:ascii="Times New Roman" w:hAnsi="Times New Roman" w:cs="Times New Roman"/>
          <w:sz w:val="24"/>
          <w:szCs w:val="24"/>
        </w:rPr>
        <w:t>ssess</w:t>
      </w:r>
      <w:r w:rsidRPr="000B010A">
        <w:rPr>
          <w:rFonts w:ascii="Times New Roman" w:hAnsi="Times New Roman" w:cs="Times New Roman"/>
          <w:sz w:val="24"/>
          <w:szCs w:val="24"/>
        </w:rPr>
        <w:t xml:space="preserve">, and </w:t>
      </w:r>
      <w:r w:rsidR="00F17F8B" w:rsidRPr="000B010A">
        <w:rPr>
          <w:rFonts w:ascii="Times New Roman" w:hAnsi="Times New Roman" w:cs="Times New Roman"/>
          <w:sz w:val="24"/>
          <w:szCs w:val="24"/>
        </w:rPr>
        <w:t>prioritize</w:t>
      </w:r>
      <w:r w:rsidRPr="000B010A">
        <w:rPr>
          <w:rFonts w:ascii="Times New Roman" w:hAnsi="Times New Roman" w:cs="Times New Roman"/>
          <w:sz w:val="24"/>
          <w:szCs w:val="24"/>
        </w:rPr>
        <w:t xml:space="preserve"> removing guns from individuals prohibited from having them.</w:t>
      </w:r>
    </w:p>
    <w:p w14:paraId="5C501FF6" w14:textId="54BCDCDA" w:rsidR="00947CDE"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 xml:space="preserve">It should be acknowledged that many prohibited individuals may be motivated to avoid the obligation to voluntarily </w:t>
      </w:r>
      <w:r w:rsidR="00F17F8B" w:rsidRPr="000B010A">
        <w:rPr>
          <w:rFonts w:ascii="Times New Roman" w:hAnsi="Times New Roman" w:cs="Times New Roman"/>
          <w:sz w:val="24"/>
          <w:szCs w:val="24"/>
        </w:rPr>
        <w:t>relinquish</w:t>
      </w:r>
      <w:r w:rsidRPr="000B010A">
        <w:rPr>
          <w:rFonts w:ascii="Times New Roman" w:hAnsi="Times New Roman" w:cs="Times New Roman"/>
          <w:sz w:val="24"/>
          <w:szCs w:val="24"/>
        </w:rPr>
        <w:t xml:space="preserve">. While there may be other reasons behind </w:t>
      </w:r>
      <w:r w:rsidR="00132DE7" w:rsidRPr="000B010A">
        <w:rPr>
          <w:rFonts w:ascii="Times New Roman" w:hAnsi="Times New Roman" w:cs="Times New Roman"/>
          <w:sz w:val="24"/>
          <w:szCs w:val="24"/>
        </w:rPr>
        <w:t>someone’s</w:t>
      </w:r>
      <w:r w:rsidRPr="000B010A">
        <w:rPr>
          <w:rFonts w:ascii="Times New Roman" w:hAnsi="Times New Roman" w:cs="Times New Roman"/>
          <w:sz w:val="24"/>
          <w:szCs w:val="24"/>
        </w:rPr>
        <w:t xml:space="preserve"> reluctance to surrender guns, the risk that </w:t>
      </w:r>
      <w:r w:rsidR="00132DE7" w:rsidRPr="000B010A">
        <w:rPr>
          <w:rFonts w:ascii="Times New Roman" w:hAnsi="Times New Roman" w:cs="Times New Roman"/>
          <w:sz w:val="24"/>
          <w:szCs w:val="24"/>
        </w:rPr>
        <w:t>people</w:t>
      </w:r>
      <w:r w:rsidRPr="000B010A">
        <w:rPr>
          <w:rFonts w:ascii="Times New Roman" w:hAnsi="Times New Roman" w:cs="Times New Roman"/>
          <w:sz w:val="24"/>
          <w:szCs w:val="24"/>
        </w:rPr>
        <w:t xml:space="preserve"> lose their li</w:t>
      </w:r>
      <w:r w:rsidR="00132DE7" w:rsidRPr="000B010A">
        <w:rPr>
          <w:rFonts w:ascii="Times New Roman" w:hAnsi="Times New Roman" w:cs="Times New Roman"/>
          <w:sz w:val="24"/>
          <w:szCs w:val="24"/>
        </w:rPr>
        <w:t>ves</w:t>
      </w:r>
      <w:r w:rsidRPr="000B010A">
        <w:rPr>
          <w:rFonts w:ascii="Times New Roman" w:hAnsi="Times New Roman" w:cs="Times New Roman"/>
          <w:sz w:val="24"/>
          <w:szCs w:val="24"/>
        </w:rPr>
        <w:t xml:space="preserve"> due to careless implementation or </w:t>
      </w:r>
      <w:r w:rsidR="00132DE7" w:rsidRPr="000B010A">
        <w:rPr>
          <w:rFonts w:ascii="Times New Roman" w:hAnsi="Times New Roman" w:cs="Times New Roman"/>
          <w:sz w:val="24"/>
          <w:szCs w:val="24"/>
        </w:rPr>
        <w:t>no</w:t>
      </w:r>
      <w:r w:rsidRPr="000B010A">
        <w:rPr>
          <w:rFonts w:ascii="Times New Roman" w:hAnsi="Times New Roman" w:cs="Times New Roman"/>
          <w:sz w:val="24"/>
          <w:szCs w:val="24"/>
        </w:rPr>
        <w:t xml:space="preserve"> follow</w:t>
      </w:r>
      <w:r w:rsidR="00132DE7" w:rsidRPr="000B010A">
        <w:rPr>
          <w:rFonts w:ascii="Times New Roman" w:hAnsi="Times New Roman" w:cs="Times New Roman"/>
          <w:sz w:val="24"/>
          <w:szCs w:val="24"/>
        </w:rPr>
        <w:t>-</w:t>
      </w:r>
      <w:r w:rsidRPr="000B010A">
        <w:rPr>
          <w:rFonts w:ascii="Times New Roman" w:hAnsi="Times New Roman" w:cs="Times New Roman"/>
          <w:sz w:val="24"/>
          <w:szCs w:val="24"/>
        </w:rPr>
        <w:t xml:space="preserve">through is too high to gamble on.  </w:t>
      </w:r>
    </w:p>
    <w:p w14:paraId="270BC4CB" w14:textId="5FE1AD5C" w:rsidR="009279F8" w:rsidRPr="000B010A" w:rsidRDefault="00947CDE" w:rsidP="00994C7F">
      <w:pPr>
        <w:jc w:val="both"/>
        <w:rPr>
          <w:rFonts w:ascii="Times New Roman" w:hAnsi="Times New Roman" w:cs="Times New Roman"/>
          <w:sz w:val="24"/>
          <w:szCs w:val="24"/>
        </w:rPr>
      </w:pPr>
      <w:r w:rsidRPr="000B010A">
        <w:rPr>
          <w:rFonts w:ascii="Times New Roman" w:hAnsi="Times New Roman" w:cs="Times New Roman"/>
          <w:sz w:val="24"/>
          <w:szCs w:val="24"/>
        </w:rPr>
        <w:t>Communities</w:t>
      </w:r>
      <w:r w:rsidR="009C54E5" w:rsidRPr="000B010A">
        <w:rPr>
          <w:rFonts w:ascii="Times New Roman" w:hAnsi="Times New Roman" w:cs="Times New Roman"/>
          <w:sz w:val="24"/>
          <w:szCs w:val="24"/>
        </w:rPr>
        <w:t xml:space="preserve"> </w:t>
      </w:r>
      <w:r w:rsidRPr="000B010A">
        <w:rPr>
          <w:rFonts w:ascii="Times New Roman" w:hAnsi="Times New Roman" w:cs="Times New Roman"/>
          <w:sz w:val="24"/>
          <w:szCs w:val="24"/>
        </w:rPr>
        <w:t xml:space="preserve">implementing </w:t>
      </w:r>
      <w:r w:rsidR="009C54E5" w:rsidRPr="000B010A">
        <w:rPr>
          <w:rFonts w:ascii="Times New Roman" w:hAnsi="Times New Roman" w:cs="Times New Roman"/>
          <w:sz w:val="24"/>
          <w:szCs w:val="24"/>
        </w:rPr>
        <w:t>relinquishment</w:t>
      </w:r>
      <w:r w:rsidRPr="000B010A">
        <w:rPr>
          <w:rFonts w:ascii="Times New Roman" w:hAnsi="Times New Roman" w:cs="Times New Roman"/>
          <w:sz w:val="24"/>
          <w:szCs w:val="24"/>
        </w:rPr>
        <w:t xml:space="preserve"> protocols should</w:t>
      </w:r>
      <w:r w:rsidR="009C54E5" w:rsidRPr="000B010A">
        <w:rPr>
          <w:rFonts w:ascii="Times New Roman" w:hAnsi="Times New Roman" w:cs="Times New Roman"/>
          <w:sz w:val="24"/>
          <w:szCs w:val="24"/>
        </w:rPr>
        <w:t xml:space="preserve"> </w:t>
      </w:r>
      <w:r w:rsidRPr="000B010A">
        <w:rPr>
          <w:rFonts w:ascii="Times New Roman" w:hAnsi="Times New Roman" w:cs="Times New Roman"/>
          <w:sz w:val="24"/>
          <w:szCs w:val="24"/>
        </w:rPr>
        <w:t xml:space="preserve">keep survivor safety as </w:t>
      </w:r>
      <w:r w:rsidR="009C54E5" w:rsidRPr="000B010A">
        <w:rPr>
          <w:rFonts w:ascii="Times New Roman" w:hAnsi="Times New Roman" w:cs="Times New Roman"/>
          <w:sz w:val="24"/>
          <w:szCs w:val="24"/>
        </w:rPr>
        <w:t>the</w:t>
      </w:r>
      <w:r w:rsidRPr="000B010A">
        <w:rPr>
          <w:rFonts w:ascii="Times New Roman" w:hAnsi="Times New Roman" w:cs="Times New Roman"/>
          <w:sz w:val="24"/>
          <w:szCs w:val="24"/>
        </w:rPr>
        <w:t xml:space="preserve"> paramount concern. </w:t>
      </w:r>
      <w:r w:rsidR="009C54E5" w:rsidRPr="000B010A">
        <w:rPr>
          <w:rFonts w:ascii="Times New Roman" w:hAnsi="Times New Roman" w:cs="Times New Roman"/>
          <w:sz w:val="24"/>
          <w:szCs w:val="24"/>
        </w:rPr>
        <w:t xml:space="preserve"> Of course, keeping survivors safe costs money and time. </w:t>
      </w:r>
      <w:r w:rsidRPr="000B010A">
        <w:rPr>
          <w:rFonts w:ascii="Times New Roman" w:hAnsi="Times New Roman" w:cs="Times New Roman"/>
          <w:sz w:val="24"/>
          <w:szCs w:val="24"/>
        </w:rPr>
        <w:t xml:space="preserve">We believe that implementation of </w:t>
      </w:r>
      <w:r w:rsidR="009C54E5" w:rsidRPr="000B010A">
        <w:rPr>
          <w:rFonts w:ascii="Times New Roman" w:hAnsi="Times New Roman" w:cs="Times New Roman"/>
          <w:sz w:val="24"/>
          <w:szCs w:val="24"/>
        </w:rPr>
        <w:t>this Model Protocol for Effective Firearms Relinquishment</w:t>
      </w:r>
      <w:r w:rsidRPr="000B010A">
        <w:rPr>
          <w:rFonts w:ascii="Times New Roman" w:hAnsi="Times New Roman" w:cs="Times New Roman"/>
          <w:sz w:val="24"/>
          <w:szCs w:val="24"/>
        </w:rPr>
        <w:t xml:space="preserve"> minimizes th</w:t>
      </w:r>
      <w:r w:rsidR="009C54E5" w:rsidRPr="000B010A">
        <w:rPr>
          <w:rFonts w:ascii="Times New Roman" w:hAnsi="Times New Roman" w:cs="Times New Roman"/>
          <w:sz w:val="24"/>
          <w:szCs w:val="24"/>
        </w:rPr>
        <w:t>e</w:t>
      </w:r>
      <w:r w:rsidRPr="000B010A">
        <w:rPr>
          <w:rFonts w:ascii="Times New Roman" w:hAnsi="Times New Roman" w:cs="Times New Roman"/>
          <w:sz w:val="24"/>
          <w:szCs w:val="24"/>
        </w:rPr>
        <w:t xml:space="preserve">se costs while maximizing the effectiveness </w:t>
      </w:r>
      <w:r w:rsidR="009C54E5" w:rsidRPr="000B010A">
        <w:rPr>
          <w:rFonts w:ascii="Times New Roman" w:hAnsi="Times New Roman" w:cs="Times New Roman"/>
          <w:sz w:val="24"/>
          <w:szCs w:val="24"/>
        </w:rPr>
        <w:t>of</w:t>
      </w:r>
      <w:r w:rsidRPr="000B010A">
        <w:rPr>
          <w:rFonts w:ascii="Times New Roman" w:hAnsi="Times New Roman" w:cs="Times New Roman"/>
          <w:sz w:val="24"/>
          <w:szCs w:val="24"/>
        </w:rPr>
        <w:t xml:space="preserve"> </w:t>
      </w:r>
      <w:r w:rsidR="009C54E5" w:rsidRPr="000B010A">
        <w:rPr>
          <w:rFonts w:ascii="Times New Roman" w:hAnsi="Times New Roman" w:cs="Times New Roman"/>
          <w:sz w:val="24"/>
          <w:szCs w:val="24"/>
        </w:rPr>
        <w:t>relinquishment and likelihood of safety for survivors.</w:t>
      </w:r>
      <w:bookmarkEnd w:id="0"/>
    </w:p>
    <w:sectPr w:rsidR="009279F8" w:rsidRPr="000B010A" w:rsidSect="00994C7F">
      <w:footerReference w:type="default" r:id="rId20"/>
      <w:footerReference w:type="first" r:id="rId21"/>
      <w:type w:val="continuous"/>
      <w:pgSz w:w="12240" w:h="15840"/>
      <w:pgMar w:top="1440" w:right="1080" w:bottom="1440" w:left="108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icia Nichols" w:date="2021-08-25T12:17:00Z" w:initials="AN">
    <w:p w14:paraId="7B9BAD1B" w14:textId="064B1DCE" w:rsidR="000A0284" w:rsidRDefault="000A0284">
      <w:pPr>
        <w:pStyle w:val="CommentText"/>
      </w:pPr>
      <w:r>
        <w:rPr>
          <w:rStyle w:val="CommentReference"/>
        </w:rPr>
        <w:annotationRef/>
      </w:r>
      <w:r>
        <w:t>Designer notes: Abstract needs to be on a page separate. Background image could be of a judge talking to a person in the courtroom.</w:t>
      </w:r>
    </w:p>
  </w:comment>
  <w:comment w:id="2" w:author="Alicia Nichols" w:date="2021-08-25T12:17:00Z" w:initials="AN">
    <w:p w14:paraId="311D8F31" w14:textId="5B15A6DE" w:rsidR="000A0284" w:rsidRDefault="000A0284">
      <w:pPr>
        <w:pStyle w:val="CommentText"/>
      </w:pPr>
      <w:r>
        <w:rPr>
          <w:rStyle w:val="CommentReference"/>
        </w:rPr>
        <w:annotationRef/>
      </w:r>
      <w:r w:rsidR="00C20261">
        <w:t>This could go in a chart where each question is in it’s own box with arrows going to the next question.</w:t>
      </w:r>
    </w:p>
  </w:comment>
  <w:comment w:id="3" w:author="Alicia Nichols" w:date="2021-08-25T12:17:00Z" w:initials="AN">
    <w:p w14:paraId="667CA92F" w14:textId="2AF5F000" w:rsidR="00C20261" w:rsidRDefault="00C20261">
      <w:pPr>
        <w:pStyle w:val="CommentText"/>
      </w:pPr>
      <w:r>
        <w:rPr>
          <w:rStyle w:val="CommentReference"/>
        </w:rPr>
        <w:annotationRef/>
      </w:r>
      <w:r>
        <w:t xml:space="preserve">Pull this sentence out </w:t>
      </w:r>
      <w:r w:rsidR="00C50BAD">
        <w:t>and highlight in someway because is it an i</w:t>
      </w:r>
      <w:r>
        <w:t xml:space="preserve">mpactful statement. We have the laws we need. Enforcement is the issue not creating more laws. </w:t>
      </w:r>
    </w:p>
  </w:comment>
  <w:comment w:id="4" w:author="Alicia Nichols" w:date="2021-08-25T12:19:00Z" w:initials="AN">
    <w:p w14:paraId="5CF0C611" w14:textId="0D68A0CA" w:rsidR="00D05829" w:rsidRDefault="00D05829">
      <w:pPr>
        <w:pStyle w:val="CommentText"/>
      </w:pPr>
      <w:r>
        <w:rPr>
          <w:rStyle w:val="CommentReference"/>
        </w:rPr>
        <w:annotationRef/>
      </w:r>
      <w:r>
        <w:t>Pull out this sentence and highlight in the margins</w:t>
      </w:r>
    </w:p>
  </w:comment>
  <w:comment w:id="5" w:author="Alicia Nichols" w:date="2021-08-25T12:19:00Z" w:initials="AN">
    <w:p w14:paraId="60F3DC4E" w14:textId="5FC115F4" w:rsidR="0069112B" w:rsidRDefault="0069112B">
      <w:pPr>
        <w:pStyle w:val="CommentText"/>
      </w:pPr>
      <w:r>
        <w:rPr>
          <w:rStyle w:val="CommentReference"/>
        </w:rPr>
        <w:annotationRef/>
      </w:r>
      <w:r>
        <w:t xml:space="preserve">Pull out this sentence </w:t>
      </w:r>
    </w:p>
  </w:comment>
  <w:comment w:id="6" w:author="Alicia Nichols" w:date="2021-08-25T12:20:00Z" w:initials="AN">
    <w:p w14:paraId="0D741F0A" w14:textId="1A486B07" w:rsidR="0069112B" w:rsidRDefault="0069112B">
      <w:pPr>
        <w:pStyle w:val="CommentText"/>
      </w:pPr>
      <w:r>
        <w:rPr>
          <w:rStyle w:val="CommentReference"/>
        </w:rPr>
        <w:annotationRef/>
      </w:r>
      <w:r>
        <w:t xml:space="preserve">Pull out this sentence </w:t>
      </w:r>
    </w:p>
  </w:comment>
  <w:comment w:id="7" w:author="Alicia Nichols" w:date="2021-08-25T12:20:00Z" w:initials="AN">
    <w:p w14:paraId="673EA4B6" w14:textId="02ECCC86" w:rsidR="0069112B" w:rsidRDefault="0069112B">
      <w:pPr>
        <w:pStyle w:val="CommentText"/>
      </w:pPr>
      <w:r>
        <w:rPr>
          <w:rStyle w:val="CommentReference"/>
        </w:rPr>
        <w:annotationRef/>
      </w:r>
      <w:r>
        <w:t>Pull this sentence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BAD1B" w15:done="0"/>
  <w15:commentEx w15:paraId="311D8F31" w15:done="0"/>
  <w15:commentEx w15:paraId="667CA92F" w15:done="0"/>
  <w15:commentEx w15:paraId="5CF0C611" w15:done="0"/>
  <w15:commentEx w15:paraId="60F3DC4E" w15:done="0"/>
  <w15:commentEx w15:paraId="0D741F0A" w15:done="0"/>
  <w15:commentEx w15:paraId="673EA4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B342" w16cex:dateUtc="2021-08-25T17:17:00Z"/>
  <w16cex:commentExtensible w16cex:durableId="24D0B34D" w16cex:dateUtc="2021-08-25T17:17:00Z"/>
  <w16cex:commentExtensible w16cex:durableId="24D0B364" w16cex:dateUtc="2021-08-25T17:17:00Z"/>
  <w16cex:commentExtensible w16cex:durableId="24D0B3BF" w16cex:dateUtc="2021-08-25T17:19:00Z"/>
  <w16cex:commentExtensible w16cex:durableId="24D0B3E3" w16cex:dateUtc="2021-08-25T17:19:00Z"/>
  <w16cex:commentExtensible w16cex:durableId="24D0B3F9" w16cex:dateUtc="2021-08-25T17:20:00Z"/>
  <w16cex:commentExtensible w16cex:durableId="24D0B410" w16cex:dateUtc="2021-08-25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BAD1B" w16cid:durableId="24D0B342"/>
  <w16cid:commentId w16cid:paraId="311D8F31" w16cid:durableId="24D0B34D"/>
  <w16cid:commentId w16cid:paraId="667CA92F" w16cid:durableId="24D0B364"/>
  <w16cid:commentId w16cid:paraId="5CF0C611" w16cid:durableId="24D0B3BF"/>
  <w16cid:commentId w16cid:paraId="60F3DC4E" w16cid:durableId="24D0B3E3"/>
  <w16cid:commentId w16cid:paraId="0D741F0A" w16cid:durableId="24D0B3F9"/>
  <w16cid:commentId w16cid:paraId="673EA4B6" w16cid:durableId="24D0B4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EFA5" w14:textId="77777777" w:rsidR="00AB1DFC" w:rsidRDefault="00AB1DFC" w:rsidP="00947CDE">
      <w:pPr>
        <w:spacing w:after="0" w:line="240" w:lineRule="auto"/>
      </w:pPr>
      <w:r>
        <w:separator/>
      </w:r>
    </w:p>
  </w:endnote>
  <w:endnote w:type="continuationSeparator" w:id="0">
    <w:p w14:paraId="0FB10921" w14:textId="77777777" w:rsidR="00AB1DFC" w:rsidRDefault="00AB1DFC" w:rsidP="00947CDE">
      <w:pPr>
        <w:spacing w:after="0" w:line="240" w:lineRule="auto"/>
      </w:pPr>
      <w:r>
        <w:continuationSeparator/>
      </w:r>
    </w:p>
  </w:endnote>
  <w:endnote w:type="continuationNotice" w:id="1">
    <w:p w14:paraId="4A65D784" w14:textId="77777777" w:rsidR="00AB1DFC" w:rsidRDefault="00AB1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472965"/>
      <w:docPartObj>
        <w:docPartGallery w:val="Page Numbers (Bottom of Page)"/>
        <w:docPartUnique/>
      </w:docPartObj>
    </w:sdtPr>
    <w:sdtEndPr>
      <w:rPr>
        <w:noProof/>
      </w:rPr>
    </w:sdtEndPr>
    <w:sdtContent>
      <w:p w14:paraId="0AB7A43E" w14:textId="10387938" w:rsidR="00EB4263" w:rsidRDefault="00EB4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08450" w14:textId="77777777" w:rsidR="0038509D" w:rsidRDefault="0038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4A52" w14:textId="11450B27" w:rsidR="00FF2747" w:rsidRDefault="00FF2747">
    <w:pPr>
      <w:pStyle w:val="Footer"/>
    </w:pPr>
  </w:p>
  <w:p w14:paraId="59E54013" w14:textId="77777777" w:rsidR="00FF2747" w:rsidRDefault="00FF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76B2" w14:textId="77777777" w:rsidR="00AB1DFC" w:rsidRDefault="00AB1DFC" w:rsidP="00947CDE">
      <w:pPr>
        <w:spacing w:after="0" w:line="240" w:lineRule="auto"/>
      </w:pPr>
      <w:r>
        <w:separator/>
      </w:r>
    </w:p>
  </w:footnote>
  <w:footnote w:type="continuationSeparator" w:id="0">
    <w:p w14:paraId="4C99F089" w14:textId="77777777" w:rsidR="00AB1DFC" w:rsidRDefault="00AB1DFC" w:rsidP="00947CDE">
      <w:pPr>
        <w:spacing w:after="0" w:line="240" w:lineRule="auto"/>
      </w:pPr>
      <w:r>
        <w:continuationSeparator/>
      </w:r>
    </w:p>
  </w:footnote>
  <w:footnote w:type="continuationNotice" w:id="1">
    <w:p w14:paraId="4827A348" w14:textId="77777777" w:rsidR="00AB1DFC" w:rsidRDefault="00AB1DFC">
      <w:pPr>
        <w:spacing w:after="0" w:line="240" w:lineRule="auto"/>
      </w:pPr>
    </w:p>
  </w:footnote>
  <w:footnote w:id="2">
    <w:p w14:paraId="5CD8E98F" w14:textId="315E70A9" w:rsidR="00EB4263" w:rsidRDefault="00EB4263">
      <w:pPr>
        <w:pStyle w:val="FootnoteText"/>
      </w:pPr>
      <w:r>
        <w:rPr>
          <w:rStyle w:val="FootnoteReference"/>
        </w:rPr>
        <w:footnoteRef/>
      </w:r>
      <w:r>
        <w:t xml:space="preserve"> </w:t>
      </w:r>
      <w:r w:rsidRPr="00994C7F">
        <w:rPr>
          <w:rFonts w:ascii="Gill Sans Nova" w:hAnsi="Gill Sans Nova"/>
        </w:rPr>
        <w:t>This model contemplates prohibitions which are imposed by court</w:t>
      </w:r>
      <w:r>
        <w:rPr>
          <w:rFonts w:ascii="Gill Sans Nova" w:hAnsi="Gill Sans Nova"/>
        </w:rPr>
        <w:t>s</w:t>
      </w:r>
      <w:r w:rsidRPr="00994C7F">
        <w:rPr>
          <w:rFonts w:ascii="Gill Sans Nova" w:hAnsi="Gill Sans Nova"/>
        </w:rPr>
        <w:t>, not those arising from dishonorable discharges from the military or because of illegal immigrant status.</w:t>
      </w:r>
    </w:p>
  </w:footnote>
  <w:footnote w:id="3">
    <w:p w14:paraId="61E86ADE" w14:textId="6B0BA980" w:rsidR="00EB4263" w:rsidRDefault="00EB4263">
      <w:pPr>
        <w:pStyle w:val="FootnoteText"/>
      </w:pPr>
      <w:r>
        <w:rPr>
          <w:rStyle w:val="FootnoteReference"/>
        </w:rPr>
        <w:footnoteRef/>
      </w:r>
      <w:r>
        <w:t xml:space="preserve"> This document uses the term defendant which is commonly used in criminal court. The term respondent is used in most civil protective order hearings. For the purposes of clarity in this document, we only use the term defendant. </w:t>
      </w:r>
    </w:p>
  </w:footnote>
  <w:footnote w:id="4">
    <w:p w14:paraId="32D886FD" w14:textId="6DB507CB" w:rsidR="000F61AD" w:rsidRPr="00323D1C" w:rsidRDefault="000F61AD">
      <w:pPr>
        <w:pStyle w:val="FootnoteText"/>
        <w:rPr>
          <w:rFonts w:ascii="Times New Roman" w:hAnsi="Times New Roman" w:cs="Times New Roman"/>
        </w:rPr>
      </w:pPr>
      <w:r w:rsidRPr="00323D1C">
        <w:rPr>
          <w:rStyle w:val="FootnoteReference"/>
          <w:rFonts w:ascii="Times New Roman" w:hAnsi="Times New Roman" w:cs="Times New Roman"/>
        </w:rPr>
        <w:footnoteRef/>
      </w:r>
      <w:r w:rsidRPr="00323D1C">
        <w:rPr>
          <w:rFonts w:ascii="Times New Roman" w:hAnsi="Times New Roman" w:cs="Times New Roman"/>
        </w:rPr>
        <w:t xml:space="preserve"> Information about U.S.C. 922 (g) (8) and g (9) is available at https://www.preventdvgunviolence.org/ </w:t>
      </w:r>
    </w:p>
  </w:footnote>
  <w:footnote w:id="5">
    <w:p w14:paraId="29B22275" w14:textId="2E0828E4" w:rsidR="00323D1C" w:rsidRDefault="00323D1C">
      <w:pPr>
        <w:pStyle w:val="FootnoteText"/>
      </w:pPr>
      <w:r w:rsidRPr="00323D1C">
        <w:rPr>
          <w:rStyle w:val="FootnoteReference"/>
          <w:rFonts w:ascii="Times New Roman" w:hAnsi="Times New Roman" w:cs="Times New Roman"/>
        </w:rPr>
        <w:footnoteRef/>
      </w:r>
      <w:r w:rsidRPr="00323D1C">
        <w:rPr>
          <w:rFonts w:ascii="Times New Roman" w:hAnsi="Times New Roman" w:cs="Times New Roman"/>
        </w:rPr>
        <w:t xml:space="preserve"> </w:t>
      </w:r>
      <w:r w:rsidR="001B03C3">
        <w:rPr>
          <w:rFonts w:ascii="Times New Roman" w:hAnsi="Times New Roman" w:cs="Times New Roman"/>
        </w:rPr>
        <w:t xml:space="preserve">In fact, under 34 U.S.C. 10449(e), as a condition for certain grant funds, every state and territory must certify that their judicial administrative policies and practices include notification to domestic violence offenders of the requirements of 18 U.S.C. 922(g)(8) and (9) and any applicable related federal, state, or local laws. </w:t>
      </w:r>
      <w:r w:rsidRPr="00323D1C">
        <w:rPr>
          <w:rFonts w:ascii="Times New Roman" w:hAnsi="Times New Roman" w:cs="Times New Roman"/>
        </w:rPr>
        <w:t xml:space="preserve">The DOJ recommends the court make </w:t>
      </w:r>
      <w:r w:rsidR="001B03C3">
        <w:rPr>
          <w:rFonts w:ascii="Times New Roman" w:hAnsi="Times New Roman" w:cs="Times New Roman"/>
        </w:rPr>
        <w:t>these warnings to anyone who might be impacted by the firearms prohibitors.</w:t>
      </w:r>
    </w:p>
  </w:footnote>
  <w:footnote w:id="6">
    <w:p w14:paraId="47C24E57" w14:textId="1B9AAA8C" w:rsidR="0038509D" w:rsidRPr="00323D1C" w:rsidRDefault="0038509D">
      <w:pPr>
        <w:pStyle w:val="FootnoteText"/>
        <w:rPr>
          <w:rFonts w:ascii="Times New Roman" w:hAnsi="Times New Roman" w:cs="Times New Roman"/>
        </w:rPr>
      </w:pPr>
      <w:r w:rsidRPr="00323D1C">
        <w:rPr>
          <w:rStyle w:val="FootnoteReference"/>
          <w:rFonts w:ascii="Times New Roman" w:hAnsi="Times New Roman" w:cs="Times New Roman"/>
        </w:rPr>
        <w:footnoteRef/>
      </w:r>
      <w:r w:rsidRPr="00323D1C">
        <w:rPr>
          <w:rFonts w:ascii="Times New Roman" w:hAnsi="Times New Roman" w:cs="Times New Roman"/>
        </w:rPr>
        <w:t xml:space="preserve"> Zeoli et al., </w:t>
      </w:r>
      <w:hyperlink r:id="rId1" w:history="1">
        <w:r w:rsidR="00A33488" w:rsidRPr="00323D1C">
          <w:rPr>
            <w:rStyle w:val="Emphasis"/>
            <w:rFonts w:ascii="Times New Roman" w:hAnsi="Times New Roman" w:cs="Times New Roman"/>
            <w:i w:val="0"/>
            <w:iCs w:val="0"/>
            <w:u w:val="single"/>
            <w:bdr w:val="none" w:sz="0" w:space="0" w:color="auto" w:frame="1"/>
            <w:shd w:val="clear" w:color="auto" w:fill="FFFFFF"/>
          </w:rPr>
          <w:t>American Journal of Epidemiology</w:t>
        </w:r>
        <w:r w:rsidR="00A33488" w:rsidRPr="00323D1C">
          <w:rPr>
            <w:rStyle w:val="Hyperlink"/>
            <w:rFonts w:ascii="Times New Roman" w:hAnsi="Times New Roman" w:cs="Times New Roman"/>
            <w:i/>
            <w:iCs/>
            <w:color w:val="auto"/>
            <w:bdr w:val="none" w:sz="0" w:space="0" w:color="auto" w:frame="1"/>
            <w:shd w:val="clear" w:color="auto" w:fill="FFFFFF"/>
          </w:rPr>
          <w:t>, Volume 187, Issue 7, July 2018,</w:t>
        </w:r>
      </w:hyperlink>
    </w:p>
  </w:footnote>
  <w:footnote w:id="7">
    <w:p w14:paraId="72F0F472" w14:textId="1B8175A2" w:rsidR="0038509D" w:rsidRPr="00323D1C" w:rsidRDefault="0038509D">
      <w:pPr>
        <w:pStyle w:val="FootnoteText"/>
        <w:rPr>
          <w:rFonts w:ascii="Times New Roman" w:hAnsi="Times New Roman" w:cs="Times New Roman"/>
        </w:rPr>
      </w:pPr>
      <w:r w:rsidRPr="00323D1C">
        <w:rPr>
          <w:rStyle w:val="FootnoteReference"/>
          <w:rFonts w:ascii="Times New Roman" w:hAnsi="Times New Roman" w:cs="Times New Roman"/>
        </w:rPr>
        <w:footnoteRef/>
      </w:r>
      <w:r w:rsidRPr="00323D1C">
        <w:rPr>
          <w:rFonts w:ascii="Times New Roman" w:hAnsi="Times New Roman" w:cs="Times New Roman"/>
        </w:rPr>
        <w:t xml:space="preserve"> Id.</w:t>
      </w:r>
    </w:p>
  </w:footnote>
  <w:footnote w:id="8">
    <w:p w14:paraId="23B06BCE" w14:textId="51E7A933" w:rsidR="0038509D" w:rsidRPr="00994C7F" w:rsidRDefault="0038509D">
      <w:pPr>
        <w:pStyle w:val="FootnoteText"/>
        <w:rPr>
          <w:rFonts w:ascii="Gill Sans Nova" w:hAnsi="Gill Sans Nova"/>
        </w:rPr>
      </w:pPr>
      <w:r w:rsidRPr="00323D1C">
        <w:rPr>
          <w:rStyle w:val="FootnoteReference"/>
          <w:rFonts w:ascii="Times New Roman" w:hAnsi="Times New Roman" w:cs="Times New Roman"/>
        </w:rPr>
        <w:footnoteRef/>
      </w:r>
      <w:r w:rsidRPr="00323D1C">
        <w:rPr>
          <w:rFonts w:ascii="Times New Roman" w:hAnsi="Times New Roman" w:cs="Times New Roman"/>
        </w:rPr>
        <w:t xml:space="preserve"> </w:t>
      </w:r>
      <w:r w:rsidR="00F82908" w:rsidRPr="00323D1C">
        <w:rPr>
          <w:rFonts w:ascii="Times New Roman" w:hAnsi="Times New Roman" w:cs="Times New Roman"/>
          <w:color w:val="222222"/>
          <w:shd w:val="clear" w:color="auto" w:fill="FFFFFF"/>
        </w:rPr>
        <w:t xml:space="preserve">Like most rights, the right secured by the Second Amendment is not unlimited…nothing in our opinion should be taken to cast doubt on longstanding prohibitions on the possession of firearms by felons and the mentally ill, or laws forbidding the carrying of firearms. </w:t>
      </w:r>
      <w:r w:rsidRPr="00323D1C">
        <w:rPr>
          <w:rFonts w:ascii="Times New Roman" w:hAnsi="Times New Roman" w:cs="Times New Roman"/>
          <w:i/>
          <w:iCs/>
        </w:rPr>
        <w:t>District of Columbia v. Heller</w:t>
      </w:r>
      <w:r w:rsidRPr="00323D1C">
        <w:rPr>
          <w:rFonts w:ascii="Times New Roman" w:hAnsi="Times New Roman" w:cs="Times New Roman"/>
        </w:rPr>
        <w:t xml:space="preserve">, 554 U.S. 570 (2008). </w:t>
      </w:r>
      <w:r w:rsidRPr="00323D1C">
        <w:rPr>
          <w:rFonts w:ascii="Times New Roman" w:hAnsi="Times New Roman" w:cs="Times New Roman"/>
          <w:i/>
          <w:iCs/>
        </w:rPr>
        <w:t xml:space="preserve">See also </w:t>
      </w:r>
      <w:r w:rsidRPr="00323D1C">
        <w:rPr>
          <w:rFonts w:ascii="Times New Roman" w:hAnsi="Times New Roman" w:cs="Times New Roman"/>
        </w:rPr>
        <w:t>18 U.S.C. § 922.</w:t>
      </w:r>
      <w:r w:rsidRPr="00F82908">
        <w:rPr>
          <w:rFonts w:ascii="Gill Sans Nova" w:hAnsi="Gill Sans Nova"/>
          <w:sz w:val="18"/>
          <w:szCs w:val="18"/>
        </w:rPr>
        <w:t xml:space="preserve"> </w:t>
      </w:r>
    </w:p>
  </w:footnote>
  <w:footnote w:id="9">
    <w:p w14:paraId="4A5F2409" w14:textId="53AFBEEF" w:rsidR="0038509D" w:rsidRPr="00323D1C" w:rsidRDefault="0038509D">
      <w:pPr>
        <w:pStyle w:val="FootnoteText"/>
        <w:rPr>
          <w:rFonts w:ascii="Times New Roman" w:hAnsi="Times New Roman" w:cs="Times New Roman"/>
        </w:rPr>
      </w:pPr>
      <w:r w:rsidRPr="00323D1C">
        <w:rPr>
          <w:rStyle w:val="FootnoteReference"/>
          <w:rFonts w:ascii="Times New Roman" w:hAnsi="Times New Roman" w:cs="Times New Roman"/>
        </w:rPr>
        <w:footnoteRef/>
      </w:r>
      <w:r w:rsidRPr="00323D1C">
        <w:rPr>
          <w:rFonts w:ascii="Times New Roman" w:hAnsi="Times New Roman" w:cs="Times New Roman"/>
        </w:rPr>
        <w:t xml:space="preserve"> </w:t>
      </w:r>
      <w:r w:rsidRPr="00323D1C">
        <w:rPr>
          <w:rFonts w:ascii="Times New Roman" w:hAnsi="Times New Roman" w:cs="Times New Roman"/>
          <w:i/>
          <w:iCs/>
        </w:rPr>
        <w:t>See</w:t>
      </w:r>
      <w:r w:rsidRPr="00323D1C">
        <w:rPr>
          <w:rFonts w:ascii="Times New Roman" w:hAnsi="Times New Roman" w:cs="Times New Roman"/>
        </w:rPr>
        <w:t xml:space="preserve"> Model Protocol, #2.</w:t>
      </w:r>
    </w:p>
  </w:footnote>
  <w:footnote w:id="10">
    <w:p w14:paraId="13AB23A2" w14:textId="28F084E4" w:rsidR="0038509D" w:rsidRPr="00994C7F" w:rsidRDefault="0038509D">
      <w:pPr>
        <w:pStyle w:val="FootnoteText"/>
        <w:rPr>
          <w:rFonts w:ascii="Gill Sans Nova" w:hAnsi="Gill Sans Nova"/>
        </w:rPr>
      </w:pPr>
      <w:r w:rsidRPr="00323D1C">
        <w:rPr>
          <w:rStyle w:val="FootnoteReference"/>
          <w:rFonts w:ascii="Times New Roman" w:hAnsi="Times New Roman" w:cs="Times New Roman"/>
        </w:rPr>
        <w:footnoteRef/>
      </w:r>
      <w:r w:rsidRPr="00323D1C">
        <w:rPr>
          <w:rFonts w:ascii="Times New Roman" w:hAnsi="Times New Roman" w:cs="Times New Roman"/>
        </w:rPr>
        <w:t xml:space="preserve"> </w:t>
      </w:r>
      <w:r w:rsidRPr="00323D1C">
        <w:rPr>
          <w:rFonts w:ascii="Times New Roman" w:hAnsi="Times New Roman" w:cs="Times New Roman"/>
          <w:i/>
          <w:iCs/>
        </w:rPr>
        <w:t>Henderson v. U.S</w:t>
      </w:r>
      <w:r w:rsidRPr="00323D1C">
        <w:rPr>
          <w:rFonts w:ascii="Times New Roman" w:hAnsi="Times New Roman" w:cs="Times New Roman"/>
        </w:rPr>
        <w:t>, 555 Fed. Appx. 851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2F"/>
    <w:multiLevelType w:val="hybridMultilevel"/>
    <w:tmpl w:val="4FDE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D4801"/>
    <w:multiLevelType w:val="hybridMultilevel"/>
    <w:tmpl w:val="D3F4F832"/>
    <w:lvl w:ilvl="0" w:tplc="1B6EA6E0">
      <w:start w:val="1"/>
      <w:numFmt w:val="upperRoman"/>
      <w:lvlText w:val="%1."/>
      <w:lvlJc w:val="left"/>
      <w:pPr>
        <w:ind w:left="720" w:hanging="720"/>
      </w:pPr>
      <w:rPr>
        <w:rFonts w:hint="default"/>
        <w:b/>
        <w:bCs/>
        <w:caps w:val="0"/>
        <w:color w:val="C45911" w:themeColor="accent2" w:themeShade="BF"/>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F80BD8"/>
    <w:multiLevelType w:val="hybridMultilevel"/>
    <w:tmpl w:val="1A908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293B"/>
    <w:multiLevelType w:val="hybridMultilevel"/>
    <w:tmpl w:val="14CC5D78"/>
    <w:lvl w:ilvl="0" w:tplc="29E22728">
      <w:start w:val="3"/>
      <w:numFmt w:val="upperRoman"/>
      <w:lvlText w:val="%1."/>
      <w:lvlJc w:val="left"/>
      <w:pPr>
        <w:ind w:left="1440" w:hanging="720"/>
      </w:pPr>
      <w:rPr>
        <w:rFonts w:hint="default"/>
        <w:color w:val="833C0B" w:themeColor="accent2" w:themeShade="8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05E77"/>
    <w:multiLevelType w:val="hybridMultilevel"/>
    <w:tmpl w:val="31222A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EB0784"/>
    <w:multiLevelType w:val="hybridMultilevel"/>
    <w:tmpl w:val="4FDE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C68D4"/>
    <w:multiLevelType w:val="hybridMultilevel"/>
    <w:tmpl w:val="8FA8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A3E9C"/>
    <w:multiLevelType w:val="hybridMultilevel"/>
    <w:tmpl w:val="26CE000A"/>
    <w:lvl w:ilvl="0" w:tplc="ED0684CC">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F54E3"/>
    <w:multiLevelType w:val="hybridMultilevel"/>
    <w:tmpl w:val="62F61728"/>
    <w:lvl w:ilvl="0" w:tplc="DB329B5C">
      <w:start w:val="1"/>
      <w:numFmt w:val="decimal"/>
      <w:lvlText w:val="%1."/>
      <w:lvlJc w:val="left"/>
      <w:pPr>
        <w:ind w:left="360" w:hanging="360"/>
      </w:pPr>
      <w:rPr>
        <w:rFonts w:hint="default"/>
        <w:b w:val="0"/>
        <w:bCs w:val="0"/>
        <w:color w:val="C45911" w:themeColor="accent2"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24B4B"/>
    <w:multiLevelType w:val="hybridMultilevel"/>
    <w:tmpl w:val="D936A6EA"/>
    <w:lvl w:ilvl="0" w:tplc="CD167A94">
      <w:start w:val="8"/>
      <w:numFmt w:val="upperRoman"/>
      <w:lvlText w:val="%1."/>
      <w:lvlJc w:val="left"/>
      <w:pPr>
        <w:ind w:left="2160" w:hanging="720"/>
      </w:pPr>
      <w:rPr>
        <w:rFonts w:hint="default"/>
        <w:color w:val="C45911" w:themeColor="accent2" w:themeShade="BF"/>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6D2F46"/>
    <w:multiLevelType w:val="hybridMultilevel"/>
    <w:tmpl w:val="2CFAC696"/>
    <w:lvl w:ilvl="0" w:tplc="1270A100">
      <w:start w:val="6"/>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637399"/>
    <w:multiLevelType w:val="hybridMultilevel"/>
    <w:tmpl w:val="4FDE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75B12"/>
    <w:multiLevelType w:val="hybridMultilevel"/>
    <w:tmpl w:val="FA74DACA"/>
    <w:lvl w:ilvl="0" w:tplc="3AC28A3C">
      <w:start w:val="11"/>
      <w:numFmt w:val="upperRoman"/>
      <w:lvlText w:val="%1."/>
      <w:lvlJc w:val="left"/>
      <w:pPr>
        <w:ind w:left="720" w:hanging="720"/>
      </w:pPr>
      <w:rPr>
        <w:rFonts w:hint="default"/>
        <w:b/>
        <w:bCs/>
        <w:color w:val="C45911" w:themeColor="accent2" w:themeShade="B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6B0BA0"/>
    <w:multiLevelType w:val="hybridMultilevel"/>
    <w:tmpl w:val="87A66FDA"/>
    <w:lvl w:ilvl="0" w:tplc="35D2013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3"/>
  </w:num>
  <w:num w:numId="4">
    <w:abstractNumId w:val="10"/>
  </w:num>
  <w:num w:numId="5">
    <w:abstractNumId w:val="8"/>
  </w:num>
  <w:num w:numId="6">
    <w:abstractNumId w:val="9"/>
  </w:num>
  <w:num w:numId="7">
    <w:abstractNumId w:val="12"/>
  </w:num>
  <w:num w:numId="8">
    <w:abstractNumId w:val="4"/>
  </w:num>
  <w:num w:numId="9">
    <w:abstractNumId w:val="6"/>
  </w:num>
  <w:num w:numId="10">
    <w:abstractNumId w:val="7"/>
  </w:num>
  <w:num w:numId="11">
    <w:abstractNumId w:val="0"/>
  </w:num>
  <w:num w:numId="12">
    <w:abstractNumId w:val="5"/>
  </w:num>
  <w:num w:numId="13">
    <w:abstractNumId w:val="1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Nichols">
    <w15:presenceInfo w15:providerId="AD" w15:userId="S::anichols@bwjp.org::393de171-d6c4-4002-92c8-27e33018e1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DE"/>
    <w:rsid w:val="00004A79"/>
    <w:rsid w:val="00004EBC"/>
    <w:rsid w:val="00020A07"/>
    <w:rsid w:val="00035C83"/>
    <w:rsid w:val="00043395"/>
    <w:rsid w:val="00044E2C"/>
    <w:rsid w:val="000471CE"/>
    <w:rsid w:val="00051391"/>
    <w:rsid w:val="00086B4F"/>
    <w:rsid w:val="00097647"/>
    <w:rsid w:val="000A0284"/>
    <w:rsid w:val="000B010A"/>
    <w:rsid w:val="000B3E89"/>
    <w:rsid w:val="000B6B1E"/>
    <w:rsid w:val="000C4301"/>
    <w:rsid w:val="000D20B5"/>
    <w:rsid w:val="000D2734"/>
    <w:rsid w:val="000D4B1E"/>
    <w:rsid w:val="000D676D"/>
    <w:rsid w:val="000E758E"/>
    <w:rsid w:val="000F2D82"/>
    <w:rsid w:val="000F49D0"/>
    <w:rsid w:val="000F61AD"/>
    <w:rsid w:val="00104FA0"/>
    <w:rsid w:val="00110DA4"/>
    <w:rsid w:val="00112FD1"/>
    <w:rsid w:val="001147DA"/>
    <w:rsid w:val="00115327"/>
    <w:rsid w:val="0012654F"/>
    <w:rsid w:val="00126799"/>
    <w:rsid w:val="00132DE7"/>
    <w:rsid w:val="00133BC8"/>
    <w:rsid w:val="001435B4"/>
    <w:rsid w:val="001464EC"/>
    <w:rsid w:val="001472A1"/>
    <w:rsid w:val="001512B6"/>
    <w:rsid w:val="00153927"/>
    <w:rsid w:val="00170993"/>
    <w:rsid w:val="00171996"/>
    <w:rsid w:val="00172DB5"/>
    <w:rsid w:val="00192B3A"/>
    <w:rsid w:val="00194D7B"/>
    <w:rsid w:val="001A1465"/>
    <w:rsid w:val="001A4B16"/>
    <w:rsid w:val="001B03C3"/>
    <w:rsid w:val="001B0AD1"/>
    <w:rsid w:val="001B1596"/>
    <w:rsid w:val="001B30A5"/>
    <w:rsid w:val="001B4629"/>
    <w:rsid w:val="001B63C6"/>
    <w:rsid w:val="001B6B81"/>
    <w:rsid w:val="001C645C"/>
    <w:rsid w:val="001D4DEC"/>
    <w:rsid w:val="001D5ECD"/>
    <w:rsid w:val="001E2B8B"/>
    <w:rsid w:val="001E7670"/>
    <w:rsid w:val="001F78A0"/>
    <w:rsid w:val="002011A6"/>
    <w:rsid w:val="002033EF"/>
    <w:rsid w:val="002069DB"/>
    <w:rsid w:val="00211209"/>
    <w:rsid w:val="00217059"/>
    <w:rsid w:val="00222EAC"/>
    <w:rsid w:val="0023261D"/>
    <w:rsid w:val="00234660"/>
    <w:rsid w:val="0023580D"/>
    <w:rsid w:val="00236F5A"/>
    <w:rsid w:val="00244A2E"/>
    <w:rsid w:val="00251B94"/>
    <w:rsid w:val="002528F7"/>
    <w:rsid w:val="00254B58"/>
    <w:rsid w:val="00267812"/>
    <w:rsid w:val="00274CED"/>
    <w:rsid w:val="002932CA"/>
    <w:rsid w:val="00295826"/>
    <w:rsid w:val="002960AE"/>
    <w:rsid w:val="002976B6"/>
    <w:rsid w:val="002B3120"/>
    <w:rsid w:val="002B62EA"/>
    <w:rsid w:val="002D1875"/>
    <w:rsid w:val="002E2BBB"/>
    <w:rsid w:val="002F015D"/>
    <w:rsid w:val="00300D27"/>
    <w:rsid w:val="00303C0A"/>
    <w:rsid w:val="003152CE"/>
    <w:rsid w:val="003170DC"/>
    <w:rsid w:val="00320E4E"/>
    <w:rsid w:val="00323D1C"/>
    <w:rsid w:val="00323D2F"/>
    <w:rsid w:val="00325C1C"/>
    <w:rsid w:val="00331A0D"/>
    <w:rsid w:val="00336D43"/>
    <w:rsid w:val="00340A1E"/>
    <w:rsid w:val="00343BD4"/>
    <w:rsid w:val="0034404A"/>
    <w:rsid w:val="003528FC"/>
    <w:rsid w:val="00357535"/>
    <w:rsid w:val="00365F45"/>
    <w:rsid w:val="0037257A"/>
    <w:rsid w:val="00377D27"/>
    <w:rsid w:val="003823B5"/>
    <w:rsid w:val="00383014"/>
    <w:rsid w:val="0038331A"/>
    <w:rsid w:val="0038509D"/>
    <w:rsid w:val="003862CF"/>
    <w:rsid w:val="00386FBC"/>
    <w:rsid w:val="00393E8E"/>
    <w:rsid w:val="003951CB"/>
    <w:rsid w:val="003971D7"/>
    <w:rsid w:val="00397A1E"/>
    <w:rsid w:val="003A0D0C"/>
    <w:rsid w:val="003B0A1E"/>
    <w:rsid w:val="003B73BD"/>
    <w:rsid w:val="003C3FCC"/>
    <w:rsid w:val="003D11AD"/>
    <w:rsid w:val="004010AC"/>
    <w:rsid w:val="004043FD"/>
    <w:rsid w:val="00413EBC"/>
    <w:rsid w:val="00415DA6"/>
    <w:rsid w:val="00422D05"/>
    <w:rsid w:val="004242F6"/>
    <w:rsid w:val="00447C4F"/>
    <w:rsid w:val="0045026C"/>
    <w:rsid w:val="00450990"/>
    <w:rsid w:val="0045226E"/>
    <w:rsid w:val="00452904"/>
    <w:rsid w:val="00452995"/>
    <w:rsid w:val="004546B8"/>
    <w:rsid w:val="00461474"/>
    <w:rsid w:val="004628AE"/>
    <w:rsid w:val="0047295B"/>
    <w:rsid w:val="00472AAF"/>
    <w:rsid w:val="00481449"/>
    <w:rsid w:val="00490D94"/>
    <w:rsid w:val="0049110B"/>
    <w:rsid w:val="004A0310"/>
    <w:rsid w:val="004A1101"/>
    <w:rsid w:val="004B186D"/>
    <w:rsid w:val="004D5FD8"/>
    <w:rsid w:val="004E291F"/>
    <w:rsid w:val="004F579C"/>
    <w:rsid w:val="00500120"/>
    <w:rsid w:val="00502868"/>
    <w:rsid w:val="00503220"/>
    <w:rsid w:val="00513AEB"/>
    <w:rsid w:val="00522DD7"/>
    <w:rsid w:val="005253DA"/>
    <w:rsid w:val="005304DC"/>
    <w:rsid w:val="0053198E"/>
    <w:rsid w:val="00542607"/>
    <w:rsid w:val="005452EE"/>
    <w:rsid w:val="00546C18"/>
    <w:rsid w:val="00551779"/>
    <w:rsid w:val="00556BDC"/>
    <w:rsid w:val="00557E99"/>
    <w:rsid w:val="0056605C"/>
    <w:rsid w:val="00566288"/>
    <w:rsid w:val="00566D08"/>
    <w:rsid w:val="00576DE5"/>
    <w:rsid w:val="005923C5"/>
    <w:rsid w:val="00596799"/>
    <w:rsid w:val="005B4243"/>
    <w:rsid w:val="005E18CC"/>
    <w:rsid w:val="005E2E5A"/>
    <w:rsid w:val="005E7B4C"/>
    <w:rsid w:val="00600592"/>
    <w:rsid w:val="00613C89"/>
    <w:rsid w:val="00625146"/>
    <w:rsid w:val="00625AA3"/>
    <w:rsid w:val="00626E6E"/>
    <w:rsid w:val="00637CCC"/>
    <w:rsid w:val="00643712"/>
    <w:rsid w:val="006505BA"/>
    <w:rsid w:val="0069112B"/>
    <w:rsid w:val="00692C36"/>
    <w:rsid w:val="00694E0F"/>
    <w:rsid w:val="006952E8"/>
    <w:rsid w:val="006A6436"/>
    <w:rsid w:val="006B0277"/>
    <w:rsid w:val="006B25AA"/>
    <w:rsid w:val="006C2D13"/>
    <w:rsid w:val="006D227D"/>
    <w:rsid w:val="006D6724"/>
    <w:rsid w:val="006E0E67"/>
    <w:rsid w:val="006F39DF"/>
    <w:rsid w:val="006F3AFB"/>
    <w:rsid w:val="00704984"/>
    <w:rsid w:val="00712FED"/>
    <w:rsid w:val="00713EB5"/>
    <w:rsid w:val="007167C9"/>
    <w:rsid w:val="00730559"/>
    <w:rsid w:val="00735C7A"/>
    <w:rsid w:val="00736379"/>
    <w:rsid w:val="007435EC"/>
    <w:rsid w:val="0076165F"/>
    <w:rsid w:val="0078339A"/>
    <w:rsid w:val="007904AA"/>
    <w:rsid w:val="007926BD"/>
    <w:rsid w:val="007A20EE"/>
    <w:rsid w:val="007B39FA"/>
    <w:rsid w:val="007B66FF"/>
    <w:rsid w:val="007D3A6E"/>
    <w:rsid w:val="007E3900"/>
    <w:rsid w:val="007E6378"/>
    <w:rsid w:val="007F0888"/>
    <w:rsid w:val="007F37AC"/>
    <w:rsid w:val="007F7BB2"/>
    <w:rsid w:val="00802826"/>
    <w:rsid w:val="00803280"/>
    <w:rsid w:val="00805922"/>
    <w:rsid w:val="008149E5"/>
    <w:rsid w:val="00816B9A"/>
    <w:rsid w:val="00823436"/>
    <w:rsid w:val="00832AFA"/>
    <w:rsid w:val="00837994"/>
    <w:rsid w:val="00870D13"/>
    <w:rsid w:val="00876AEA"/>
    <w:rsid w:val="00877F6A"/>
    <w:rsid w:val="00894A7D"/>
    <w:rsid w:val="00896E57"/>
    <w:rsid w:val="008A0076"/>
    <w:rsid w:val="008B2065"/>
    <w:rsid w:val="008B3B55"/>
    <w:rsid w:val="008B677D"/>
    <w:rsid w:val="008C68D4"/>
    <w:rsid w:val="008C7AEE"/>
    <w:rsid w:val="008D11AA"/>
    <w:rsid w:val="008D3767"/>
    <w:rsid w:val="008E4111"/>
    <w:rsid w:val="008F4665"/>
    <w:rsid w:val="00904679"/>
    <w:rsid w:val="00915CF1"/>
    <w:rsid w:val="009279F8"/>
    <w:rsid w:val="0093041D"/>
    <w:rsid w:val="00947C78"/>
    <w:rsid w:val="00947CDE"/>
    <w:rsid w:val="009521CE"/>
    <w:rsid w:val="00957158"/>
    <w:rsid w:val="00966E26"/>
    <w:rsid w:val="0097326C"/>
    <w:rsid w:val="00992712"/>
    <w:rsid w:val="00992DA4"/>
    <w:rsid w:val="00994C7F"/>
    <w:rsid w:val="00996A03"/>
    <w:rsid w:val="009A3F00"/>
    <w:rsid w:val="009B0F0D"/>
    <w:rsid w:val="009B1AFF"/>
    <w:rsid w:val="009C4653"/>
    <w:rsid w:val="009C54E5"/>
    <w:rsid w:val="009D2AD4"/>
    <w:rsid w:val="009D743B"/>
    <w:rsid w:val="009D7529"/>
    <w:rsid w:val="009F3DCF"/>
    <w:rsid w:val="009F68DF"/>
    <w:rsid w:val="00A0060B"/>
    <w:rsid w:val="00A03066"/>
    <w:rsid w:val="00A0590A"/>
    <w:rsid w:val="00A07CFE"/>
    <w:rsid w:val="00A228D0"/>
    <w:rsid w:val="00A33488"/>
    <w:rsid w:val="00A33FE2"/>
    <w:rsid w:val="00A347E6"/>
    <w:rsid w:val="00A426A5"/>
    <w:rsid w:val="00A44E59"/>
    <w:rsid w:val="00A52057"/>
    <w:rsid w:val="00A54373"/>
    <w:rsid w:val="00A54D23"/>
    <w:rsid w:val="00A62282"/>
    <w:rsid w:val="00A76921"/>
    <w:rsid w:val="00A948A0"/>
    <w:rsid w:val="00AA0B5E"/>
    <w:rsid w:val="00AA1315"/>
    <w:rsid w:val="00AA35EA"/>
    <w:rsid w:val="00AB1DFC"/>
    <w:rsid w:val="00AB409D"/>
    <w:rsid w:val="00AC3402"/>
    <w:rsid w:val="00AC4B08"/>
    <w:rsid w:val="00AD4790"/>
    <w:rsid w:val="00AF3AE2"/>
    <w:rsid w:val="00AF4D02"/>
    <w:rsid w:val="00B05C7C"/>
    <w:rsid w:val="00B0665C"/>
    <w:rsid w:val="00B068E6"/>
    <w:rsid w:val="00B06994"/>
    <w:rsid w:val="00B07940"/>
    <w:rsid w:val="00B14EDC"/>
    <w:rsid w:val="00B316AD"/>
    <w:rsid w:val="00B31B66"/>
    <w:rsid w:val="00B329A3"/>
    <w:rsid w:val="00B44E66"/>
    <w:rsid w:val="00B463DD"/>
    <w:rsid w:val="00B467A6"/>
    <w:rsid w:val="00B55B75"/>
    <w:rsid w:val="00B626B3"/>
    <w:rsid w:val="00B65BE7"/>
    <w:rsid w:val="00B71FD4"/>
    <w:rsid w:val="00B87367"/>
    <w:rsid w:val="00BA3664"/>
    <w:rsid w:val="00BB4BBA"/>
    <w:rsid w:val="00BB5C4A"/>
    <w:rsid w:val="00BE01C6"/>
    <w:rsid w:val="00BE0CC7"/>
    <w:rsid w:val="00C05917"/>
    <w:rsid w:val="00C14ACC"/>
    <w:rsid w:val="00C16A36"/>
    <w:rsid w:val="00C20261"/>
    <w:rsid w:val="00C268E0"/>
    <w:rsid w:val="00C3140A"/>
    <w:rsid w:val="00C334D3"/>
    <w:rsid w:val="00C50BAD"/>
    <w:rsid w:val="00C5665D"/>
    <w:rsid w:val="00C70582"/>
    <w:rsid w:val="00C70B9C"/>
    <w:rsid w:val="00C75952"/>
    <w:rsid w:val="00C7605D"/>
    <w:rsid w:val="00C77FC2"/>
    <w:rsid w:val="00C82F98"/>
    <w:rsid w:val="00C8623A"/>
    <w:rsid w:val="00C904CE"/>
    <w:rsid w:val="00C9239F"/>
    <w:rsid w:val="00C96E17"/>
    <w:rsid w:val="00CA1A95"/>
    <w:rsid w:val="00CC4188"/>
    <w:rsid w:val="00CC647A"/>
    <w:rsid w:val="00CD09BA"/>
    <w:rsid w:val="00CD3B8F"/>
    <w:rsid w:val="00D05829"/>
    <w:rsid w:val="00D0784E"/>
    <w:rsid w:val="00D2559C"/>
    <w:rsid w:val="00D41836"/>
    <w:rsid w:val="00D43C4A"/>
    <w:rsid w:val="00D56895"/>
    <w:rsid w:val="00D67FE7"/>
    <w:rsid w:val="00D73FA2"/>
    <w:rsid w:val="00D83962"/>
    <w:rsid w:val="00D866EF"/>
    <w:rsid w:val="00D9131D"/>
    <w:rsid w:val="00D9437A"/>
    <w:rsid w:val="00DA064D"/>
    <w:rsid w:val="00DA5E31"/>
    <w:rsid w:val="00DA6A93"/>
    <w:rsid w:val="00DB6AC7"/>
    <w:rsid w:val="00DC67F8"/>
    <w:rsid w:val="00DD0FBA"/>
    <w:rsid w:val="00DE5C35"/>
    <w:rsid w:val="00DE7352"/>
    <w:rsid w:val="00DF0F65"/>
    <w:rsid w:val="00DF720B"/>
    <w:rsid w:val="00DF7640"/>
    <w:rsid w:val="00E10125"/>
    <w:rsid w:val="00E10C2D"/>
    <w:rsid w:val="00E244CA"/>
    <w:rsid w:val="00E24C03"/>
    <w:rsid w:val="00E27F9F"/>
    <w:rsid w:val="00E36C2E"/>
    <w:rsid w:val="00E53BE2"/>
    <w:rsid w:val="00E6026A"/>
    <w:rsid w:val="00E6658B"/>
    <w:rsid w:val="00E67CA1"/>
    <w:rsid w:val="00E705CD"/>
    <w:rsid w:val="00E7344C"/>
    <w:rsid w:val="00E83158"/>
    <w:rsid w:val="00E94432"/>
    <w:rsid w:val="00EA3F86"/>
    <w:rsid w:val="00EA62C9"/>
    <w:rsid w:val="00EB4263"/>
    <w:rsid w:val="00EB7F43"/>
    <w:rsid w:val="00EC281A"/>
    <w:rsid w:val="00ED502E"/>
    <w:rsid w:val="00ED7F81"/>
    <w:rsid w:val="00EE16ED"/>
    <w:rsid w:val="00EE513E"/>
    <w:rsid w:val="00EF0297"/>
    <w:rsid w:val="00EF13DA"/>
    <w:rsid w:val="00F17F8B"/>
    <w:rsid w:val="00F23157"/>
    <w:rsid w:val="00F23BE4"/>
    <w:rsid w:val="00F25B76"/>
    <w:rsid w:val="00F33B15"/>
    <w:rsid w:val="00F37722"/>
    <w:rsid w:val="00F45CE3"/>
    <w:rsid w:val="00F50BED"/>
    <w:rsid w:val="00F5115B"/>
    <w:rsid w:val="00F575BA"/>
    <w:rsid w:val="00F60BA3"/>
    <w:rsid w:val="00F636FF"/>
    <w:rsid w:val="00F82908"/>
    <w:rsid w:val="00F8426E"/>
    <w:rsid w:val="00F907EA"/>
    <w:rsid w:val="00FA5C3B"/>
    <w:rsid w:val="00FB2246"/>
    <w:rsid w:val="00FB4020"/>
    <w:rsid w:val="00FC27F7"/>
    <w:rsid w:val="00FC2DB6"/>
    <w:rsid w:val="00FC4118"/>
    <w:rsid w:val="00FD28C0"/>
    <w:rsid w:val="00FD53F8"/>
    <w:rsid w:val="00FE0BD9"/>
    <w:rsid w:val="00FF2747"/>
    <w:rsid w:val="01D26174"/>
    <w:rsid w:val="0332BC03"/>
    <w:rsid w:val="038FAC5F"/>
    <w:rsid w:val="046AAB9C"/>
    <w:rsid w:val="075CBDF7"/>
    <w:rsid w:val="0C0C1B3D"/>
    <w:rsid w:val="15A0C592"/>
    <w:rsid w:val="19B5F642"/>
    <w:rsid w:val="1A746986"/>
    <w:rsid w:val="1F4052C5"/>
    <w:rsid w:val="22326520"/>
    <w:rsid w:val="2392BFAF"/>
    <w:rsid w:val="2524777B"/>
    <w:rsid w:val="2D845A60"/>
    <w:rsid w:val="2DCA1A9D"/>
    <w:rsid w:val="2E42CDA4"/>
    <w:rsid w:val="2F0140E8"/>
    <w:rsid w:val="3179D6EE"/>
    <w:rsid w:val="332B42DC"/>
    <w:rsid w:val="36BF3C82"/>
    <w:rsid w:val="38BE5633"/>
    <w:rsid w:val="3BD01CB0"/>
    <w:rsid w:val="3CEB8050"/>
    <w:rsid w:val="3D8068B3"/>
    <w:rsid w:val="3FA05671"/>
    <w:rsid w:val="429268CC"/>
    <w:rsid w:val="452AB2F4"/>
    <w:rsid w:val="45E663B1"/>
    <w:rsid w:val="46266272"/>
    <w:rsid w:val="46E4D5B6"/>
    <w:rsid w:val="49D6E811"/>
    <w:rsid w:val="4B2F87EB"/>
    <w:rsid w:val="4E00EA05"/>
    <w:rsid w:val="4F614494"/>
    <w:rsid w:val="511B6756"/>
    <w:rsid w:val="5486F606"/>
    <w:rsid w:val="55101A96"/>
    <w:rsid w:val="56FBB37C"/>
    <w:rsid w:val="58BCD6F7"/>
    <w:rsid w:val="59901B7F"/>
    <w:rsid w:val="5DC1D828"/>
    <w:rsid w:val="603D9657"/>
    <w:rsid w:val="628DC167"/>
    <w:rsid w:val="640AA7EF"/>
    <w:rsid w:val="66AA5962"/>
    <w:rsid w:val="66E02E51"/>
    <w:rsid w:val="6BAC1790"/>
    <w:rsid w:val="6FC14840"/>
    <w:rsid w:val="70D4F5CE"/>
    <w:rsid w:val="7173B04D"/>
    <w:rsid w:val="71F4E757"/>
    <w:rsid w:val="7663E03A"/>
    <w:rsid w:val="78977F51"/>
    <w:rsid w:val="7C0EECFE"/>
    <w:rsid w:val="7D636890"/>
    <w:rsid w:val="7E21D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656C0"/>
  <w15:chartTrackingRefBased/>
  <w15:docId w15:val="{06A83BD5-1F62-4A7C-A3B3-2E20DB0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7CDE"/>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47CDE"/>
    <w:rPr>
      <w:rFonts w:ascii="Calibri" w:eastAsia="Calibri" w:hAnsi="Calibri" w:cs="Calibri"/>
      <w:sz w:val="20"/>
      <w:szCs w:val="20"/>
    </w:rPr>
  </w:style>
  <w:style w:type="paragraph" w:styleId="NoSpacing">
    <w:name w:val="No Spacing"/>
    <w:link w:val="NoSpacingChar"/>
    <w:uiPriority w:val="1"/>
    <w:qFormat/>
    <w:rsid w:val="004546B8"/>
    <w:pPr>
      <w:spacing w:after="0" w:line="240" w:lineRule="auto"/>
    </w:pPr>
  </w:style>
  <w:style w:type="character" w:styleId="CommentReference">
    <w:name w:val="annotation reference"/>
    <w:basedOn w:val="DefaultParagraphFont"/>
    <w:uiPriority w:val="99"/>
    <w:semiHidden/>
    <w:unhideWhenUsed/>
    <w:rsid w:val="008C7AEE"/>
    <w:rPr>
      <w:sz w:val="16"/>
      <w:szCs w:val="16"/>
    </w:rPr>
  </w:style>
  <w:style w:type="paragraph" w:styleId="CommentText">
    <w:name w:val="annotation text"/>
    <w:basedOn w:val="Normal"/>
    <w:link w:val="CommentTextChar"/>
    <w:uiPriority w:val="99"/>
    <w:unhideWhenUsed/>
    <w:rsid w:val="008C7AEE"/>
    <w:pPr>
      <w:spacing w:line="240" w:lineRule="auto"/>
    </w:pPr>
    <w:rPr>
      <w:sz w:val="20"/>
      <w:szCs w:val="20"/>
    </w:rPr>
  </w:style>
  <w:style w:type="character" w:customStyle="1" w:styleId="CommentTextChar">
    <w:name w:val="Comment Text Char"/>
    <w:basedOn w:val="DefaultParagraphFont"/>
    <w:link w:val="CommentText"/>
    <w:uiPriority w:val="99"/>
    <w:rsid w:val="008C7AEE"/>
    <w:rPr>
      <w:sz w:val="20"/>
      <w:szCs w:val="20"/>
    </w:rPr>
  </w:style>
  <w:style w:type="paragraph" w:styleId="CommentSubject">
    <w:name w:val="annotation subject"/>
    <w:basedOn w:val="CommentText"/>
    <w:next w:val="CommentText"/>
    <w:link w:val="CommentSubjectChar"/>
    <w:uiPriority w:val="99"/>
    <w:semiHidden/>
    <w:unhideWhenUsed/>
    <w:rsid w:val="008C7AEE"/>
    <w:rPr>
      <w:b/>
      <w:bCs/>
    </w:rPr>
  </w:style>
  <w:style w:type="character" w:customStyle="1" w:styleId="CommentSubjectChar">
    <w:name w:val="Comment Subject Char"/>
    <w:basedOn w:val="CommentTextChar"/>
    <w:link w:val="CommentSubject"/>
    <w:uiPriority w:val="99"/>
    <w:semiHidden/>
    <w:rsid w:val="008C7AEE"/>
    <w:rPr>
      <w:b/>
      <w:bCs/>
      <w:sz w:val="20"/>
      <w:szCs w:val="20"/>
    </w:rPr>
  </w:style>
  <w:style w:type="paragraph" w:styleId="Revision">
    <w:name w:val="Revision"/>
    <w:hidden/>
    <w:uiPriority w:val="99"/>
    <w:semiHidden/>
    <w:rsid w:val="00A44E59"/>
    <w:pPr>
      <w:spacing w:after="0" w:line="240" w:lineRule="auto"/>
    </w:pPr>
  </w:style>
  <w:style w:type="character" w:customStyle="1" w:styleId="NoSpacingChar">
    <w:name w:val="No Spacing Char"/>
    <w:basedOn w:val="DefaultParagraphFont"/>
    <w:link w:val="NoSpacing"/>
    <w:uiPriority w:val="1"/>
    <w:rsid w:val="00ED502E"/>
  </w:style>
  <w:style w:type="paragraph" w:styleId="ListParagraph">
    <w:name w:val="List Paragraph"/>
    <w:basedOn w:val="Normal"/>
    <w:uiPriority w:val="34"/>
    <w:qFormat/>
    <w:rsid w:val="003528FC"/>
    <w:pPr>
      <w:ind w:left="720"/>
      <w:contextualSpacing/>
    </w:pPr>
  </w:style>
  <w:style w:type="paragraph" w:styleId="Header">
    <w:name w:val="header"/>
    <w:basedOn w:val="Normal"/>
    <w:link w:val="HeaderChar"/>
    <w:uiPriority w:val="99"/>
    <w:unhideWhenUsed/>
    <w:rsid w:val="0055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99"/>
  </w:style>
  <w:style w:type="paragraph" w:styleId="Footer">
    <w:name w:val="footer"/>
    <w:basedOn w:val="Normal"/>
    <w:link w:val="FooterChar"/>
    <w:uiPriority w:val="99"/>
    <w:unhideWhenUsed/>
    <w:rsid w:val="0055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99"/>
  </w:style>
  <w:style w:type="paragraph" w:styleId="FootnoteText">
    <w:name w:val="footnote text"/>
    <w:basedOn w:val="Normal"/>
    <w:link w:val="FootnoteTextChar"/>
    <w:uiPriority w:val="99"/>
    <w:semiHidden/>
    <w:unhideWhenUsed/>
    <w:rsid w:val="004529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995"/>
    <w:rPr>
      <w:sz w:val="20"/>
      <w:szCs w:val="20"/>
    </w:rPr>
  </w:style>
  <w:style w:type="character" w:styleId="FootnoteReference">
    <w:name w:val="footnote reference"/>
    <w:basedOn w:val="DefaultParagraphFont"/>
    <w:uiPriority w:val="99"/>
    <w:semiHidden/>
    <w:unhideWhenUsed/>
    <w:rsid w:val="00452995"/>
    <w:rPr>
      <w:vertAlign w:val="superscript"/>
    </w:rPr>
  </w:style>
  <w:style w:type="character" w:styleId="Hyperlink">
    <w:name w:val="Hyperlink"/>
    <w:basedOn w:val="DefaultParagraphFont"/>
    <w:uiPriority w:val="99"/>
    <w:unhideWhenUsed/>
    <w:rsid w:val="00A33488"/>
    <w:rPr>
      <w:color w:val="0000FF"/>
      <w:u w:val="single"/>
    </w:rPr>
  </w:style>
  <w:style w:type="character" w:styleId="Emphasis">
    <w:name w:val="Emphasis"/>
    <w:basedOn w:val="DefaultParagraphFont"/>
    <w:uiPriority w:val="20"/>
    <w:qFormat/>
    <w:rsid w:val="00A33488"/>
    <w:rPr>
      <w:i/>
      <w:iCs/>
    </w:rPr>
  </w:style>
  <w:style w:type="paragraph" w:customStyle="1" w:styleId="Pa6">
    <w:name w:val="Pa6"/>
    <w:basedOn w:val="Normal"/>
    <w:next w:val="Normal"/>
    <w:uiPriority w:val="99"/>
    <w:rsid w:val="007B66FF"/>
    <w:pPr>
      <w:autoSpaceDE w:val="0"/>
      <w:autoSpaceDN w:val="0"/>
      <w:adjustRightInd w:val="0"/>
      <w:spacing w:after="0" w:line="361" w:lineRule="atLeast"/>
    </w:pPr>
    <w:rPr>
      <w:rFonts w:ascii="Proxima Nova" w:hAnsi="Proxima Nova"/>
      <w:sz w:val="24"/>
      <w:szCs w:val="24"/>
    </w:rPr>
  </w:style>
  <w:style w:type="character" w:customStyle="1" w:styleId="A4">
    <w:name w:val="A4"/>
    <w:uiPriority w:val="99"/>
    <w:rsid w:val="007B66FF"/>
    <w:rPr>
      <w:rFonts w:cs="Proxima Nova"/>
      <w:color w:val="211D1E"/>
      <w:sz w:val="28"/>
      <w:szCs w:val="28"/>
    </w:rPr>
  </w:style>
  <w:style w:type="character" w:customStyle="1" w:styleId="A7">
    <w:name w:val="A7"/>
    <w:uiPriority w:val="99"/>
    <w:rsid w:val="007B66FF"/>
    <w:rPr>
      <w:rFonts w:cs="Proxima Nova"/>
      <w:color w:val="1F5D9F"/>
      <w:sz w:val="28"/>
      <w:szCs w:val="28"/>
      <w:u w:val="single"/>
    </w:rPr>
  </w:style>
  <w:style w:type="character" w:styleId="UnresolvedMention">
    <w:name w:val="Unresolved Mention"/>
    <w:basedOn w:val="DefaultParagraphFont"/>
    <w:uiPriority w:val="99"/>
    <w:unhideWhenUsed/>
    <w:rsid w:val="007B66FF"/>
    <w:rPr>
      <w:color w:val="605E5C"/>
      <w:shd w:val="clear" w:color="auto" w:fill="E1DFDD"/>
    </w:rPr>
  </w:style>
  <w:style w:type="paragraph" w:styleId="BalloonText">
    <w:name w:val="Balloon Text"/>
    <w:basedOn w:val="Normal"/>
    <w:link w:val="BalloonTextChar"/>
    <w:uiPriority w:val="99"/>
    <w:semiHidden/>
    <w:unhideWhenUsed/>
    <w:rsid w:val="00FE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D9"/>
    <w:rPr>
      <w:rFonts w:ascii="Segoe UI" w:hAnsi="Segoe UI" w:cs="Segoe UI"/>
      <w:sz w:val="18"/>
      <w:szCs w:val="18"/>
    </w:rPr>
  </w:style>
  <w:style w:type="character" w:styleId="Mention">
    <w:name w:val="Mention"/>
    <w:basedOn w:val="DefaultParagraphFont"/>
    <w:uiPriority w:val="99"/>
    <w:unhideWhenUsed/>
    <w:rsid w:val="001709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preventdvgunviolence.org" TargetMode="External"/><Relationship Id="rId23" Type="http://schemas.microsoft.com/office/2011/relationships/people" Target="people.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ademic.oup.com/aje/article/187/7/1449/4655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9498c-8ccc-4c0b-9da4-e234ec0bfd04">M2SANEAVQKED-1580889500-160259</_dlc_DocId>
    <_dlc_DocIdUrl xmlns="b2d9498c-8ccc-4c0b-9da4-e234ec0bfd04">
      <Url>https://bwjp.sharepoint.com/sites/BWJPTeamSite/_layouts/15/DocIdRedir.aspx?ID=M2SANEAVQKED-1580889500-160259</Url>
      <Description>M2SANEAVQKED-1580889500-160259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A82D50C83C6443AAF152959C8FC7A0" ma:contentTypeVersion="12" ma:contentTypeDescription="Create a new document." ma:contentTypeScope="" ma:versionID="616f0af288679f3c150008c3f2d1ff0d">
  <xsd:schema xmlns:xsd="http://www.w3.org/2001/XMLSchema" xmlns:xs="http://www.w3.org/2001/XMLSchema" xmlns:p="http://schemas.microsoft.com/office/2006/metadata/properties" xmlns:ns2="b2d9498c-8ccc-4c0b-9da4-e234ec0bfd04" xmlns:ns3="c44f0bae-9eb7-475f-b2a3-135005c60b81" targetNamespace="http://schemas.microsoft.com/office/2006/metadata/properties" ma:root="true" ma:fieldsID="3c47ff46b1ce571c8c33d562bc753462" ns2:_="" ns3:_="">
    <xsd:import namespace="b2d9498c-8ccc-4c0b-9da4-e234ec0bfd04"/>
    <xsd:import namespace="c44f0bae-9eb7-475f-b2a3-135005c60b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9498c-8ccc-4c0b-9da4-e234ec0bfd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f0bae-9eb7-475f-b2a3-135005c60b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C2C77-6170-4219-82A6-449AED877D88}">
  <ds:schemaRefs>
    <ds:schemaRef ds:uri="http://schemas.microsoft.com/sharepoint/events"/>
  </ds:schemaRefs>
</ds:datastoreItem>
</file>

<file path=customXml/itemProps3.xml><?xml version="1.0" encoding="utf-8"?>
<ds:datastoreItem xmlns:ds="http://schemas.openxmlformats.org/officeDocument/2006/customXml" ds:itemID="{0702EC9F-D223-4407-9C52-9B4CA4579112}">
  <ds:schemaRefs>
    <ds:schemaRef ds:uri="http://schemas.microsoft.com/office/2006/metadata/properties"/>
    <ds:schemaRef ds:uri="http://schemas.microsoft.com/office/infopath/2007/PartnerControls"/>
    <ds:schemaRef ds:uri="b2d9498c-8ccc-4c0b-9da4-e234ec0bfd04"/>
  </ds:schemaRefs>
</ds:datastoreItem>
</file>

<file path=customXml/itemProps4.xml><?xml version="1.0" encoding="utf-8"?>
<ds:datastoreItem xmlns:ds="http://schemas.openxmlformats.org/officeDocument/2006/customXml" ds:itemID="{87FAF9C3-FFBF-49EF-9BEB-68B16E37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9498c-8ccc-4c0b-9da4-e234ec0bfd04"/>
    <ds:schemaRef ds:uri="c44f0bae-9eb7-475f-b2a3-135005c60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1C962-B7BB-4890-988E-2A9E67BB3248}">
  <ds:schemaRefs>
    <ds:schemaRef ds:uri="http://schemas.microsoft.com/sharepoint/v3/contenttype/forms"/>
  </ds:schemaRefs>
</ds:datastoreItem>
</file>

<file path=customXml/itemProps6.xml><?xml version="1.0" encoding="utf-8"?>
<ds:datastoreItem xmlns:ds="http://schemas.openxmlformats.org/officeDocument/2006/customXml" ds:itemID="{1575C66A-2A56-41DA-AE33-DC498439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Actually Separating 
Domestic Abusers From Their Firearms: 
a Model Protocol for 
Effective Relinquishment</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Actually Separating 
Domestic Abusers From Their Firearms: 
a Model Protocol for 
Effective Relinquishment</dc:title>
  <dc:subject>National Resource Center on Domestic Violence and Firearms</dc:subject>
  <dc:creator>David Keck</dc:creator>
  <cp:keywords/>
  <dc:description/>
  <cp:lastModifiedBy>Alicia Nichols</cp:lastModifiedBy>
  <cp:revision>7</cp:revision>
  <cp:lastPrinted>2021-08-14T22:35:00Z</cp:lastPrinted>
  <dcterms:created xsi:type="dcterms:W3CDTF">2021-08-24T21:00:00Z</dcterms:created>
  <dcterms:modified xsi:type="dcterms:W3CDTF">2021-08-25T17:20:00Z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0x0101006BA82D50C83C6443AAF152959C8FC7A0</vt:lpwstr>
  </property>
  <property fmtid="{D5CDD505-2E9C-101B-9397-08002B2CF9AE}" pid="3" name="_dlc_DocIdItemGuid">
    <vt:lpwstr>299779b1-4e1d-4f21-add7-b058ab4fd6fb</vt:lpwstr>
  </property>
</Properties>
</file>